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A9" w:rsidRPr="00B05265" w:rsidRDefault="00C317B7">
      <w:pPr>
        <w:rPr>
          <w:rFonts w:ascii="Tahoma" w:hAnsi="Tahoma" w:cs="Tahoma"/>
        </w:rPr>
      </w:pPr>
      <w:r>
        <w:rPr>
          <w:noProof/>
          <w:lang w:eastAsia="fr-CA"/>
        </w:rPr>
        <w:drawing>
          <wp:anchor distT="0" distB="0" distL="114300" distR="114300" simplePos="0" relativeHeight="251661312" behindDoc="0" locked="0" layoutInCell="1" allowOverlap="1" wp14:anchorId="1AE84B6D" wp14:editId="5CA25C61">
            <wp:simplePos x="0" y="0"/>
            <wp:positionH relativeFrom="margin">
              <wp:posOffset>3777615</wp:posOffset>
            </wp:positionH>
            <wp:positionV relativeFrom="paragraph">
              <wp:posOffset>73660</wp:posOffset>
            </wp:positionV>
            <wp:extent cx="1389821" cy="1028700"/>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EQ_Logo-V_2016-2020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821" cy="1028700"/>
                    </a:xfrm>
                    <a:prstGeom prst="rect">
                      <a:avLst/>
                    </a:prstGeom>
                  </pic:spPr>
                </pic:pic>
              </a:graphicData>
            </a:graphic>
            <wp14:sizeRelH relativeFrom="margin">
              <wp14:pctWidth>0</wp14:pctWidth>
            </wp14:sizeRelH>
            <wp14:sizeRelV relativeFrom="margin">
              <wp14:pctHeight>0</wp14:pctHeight>
            </wp14:sizeRelV>
          </wp:anchor>
        </w:drawing>
      </w:r>
      <w:r w:rsidRPr="00B05265">
        <w:rPr>
          <w:rFonts w:ascii="Tahoma" w:hAnsi="Tahoma" w:cs="Tahoma"/>
          <w:noProof/>
          <w:lang w:eastAsia="fr-CA"/>
        </w:rPr>
        <w:drawing>
          <wp:anchor distT="0" distB="0" distL="114300" distR="114300" simplePos="0" relativeHeight="251657216" behindDoc="1" locked="0" layoutInCell="1" allowOverlap="1" wp14:anchorId="51F087D4" wp14:editId="1397B087">
            <wp:simplePos x="0" y="0"/>
            <wp:positionH relativeFrom="margin">
              <wp:posOffset>361950</wp:posOffset>
            </wp:positionH>
            <wp:positionV relativeFrom="paragraph">
              <wp:posOffset>16510</wp:posOffset>
            </wp:positionV>
            <wp:extent cx="1743075" cy="1162050"/>
            <wp:effectExtent l="0" t="0" r="9525" b="0"/>
            <wp:wrapNone/>
            <wp:docPr id="1" name="Image 1" descr="http://www.lesaffaires.com/uploads/images/original/41f2e37c34b41b2701d8f151b019d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affaires.com/uploads/images/original/41f2e37c34b41b2701d8f151b019db6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8A9" w:rsidRPr="00B05265" w:rsidRDefault="009E68A9">
      <w:pPr>
        <w:rPr>
          <w:rFonts w:ascii="Tahoma" w:hAnsi="Tahoma" w:cs="Tahoma"/>
        </w:rPr>
      </w:pPr>
    </w:p>
    <w:p w:rsidR="009E68A9" w:rsidRPr="00B05265" w:rsidRDefault="009E68A9" w:rsidP="00153CCE">
      <w:pPr>
        <w:spacing w:after="0"/>
        <w:rPr>
          <w:rFonts w:ascii="Tahoma" w:hAnsi="Tahoma" w:cs="Tahoma"/>
        </w:rPr>
      </w:pPr>
    </w:p>
    <w:p w:rsidR="009E68A9" w:rsidRPr="00B05265" w:rsidRDefault="009E68A9">
      <w:pPr>
        <w:rPr>
          <w:rFonts w:ascii="Tahoma" w:hAnsi="Tahoma" w:cs="Tahoma"/>
        </w:rPr>
      </w:pPr>
    </w:p>
    <w:p w:rsidR="00B5760A" w:rsidRPr="00B05265" w:rsidRDefault="00B5760A" w:rsidP="00FF4558">
      <w:pPr>
        <w:spacing w:after="0" w:line="240" w:lineRule="auto"/>
        <w:rPr>
          <w:rFonts w:ascii="Tahoma" w:hAnsi="Tahoma" w:cs="Tahoma"/>
          <w:b/>
          <w:i/>
        </w:rPr>
      </w:pPr>
    </w:p>
    <w:p w:rsidR="00153CCE" w:rsidRDefault="00153CCE" w:rsidP="00FF4558">
      <w:pPr>
        <w:spacing w:after="0" w:line="240" w:lineRule="auto"/>
        <w:rPr>
          <w:rFonts w:ascii="Tahoma" w:hAnsi="Tahoma" w:cs="Tahoma"/>
          <w:b/>
          <w:i/>
          <w:sz w:val="24"/>
          <w:szCs w:val="24"/>
        </w:rPr>
      </w:pPr>
    </w:p>
    <w:p w:rsidR="00DC115F" w:rsidRPr="00C317B7" w:rsidRDefault="001A6CE6" w:rsidP="00FF4558">
      <w:pPr>
        <w:spacing w:after="0" w:line="240" w:lineRule="auto"/>
        <w:rPr>
          <w:rFonts w:ascii="Tahoma" w:hAnsi="Tahoma" w:cs="Tahoma"/>
          <w:i/>
        </w:rPr>
      </w:pPr>
      <w:r w:rsidRPr="00C317B7">
        <w:rPr>
          <w:rFonts w:ascii="Tahoma" w:hAnsi="Tahoma" w:cs="Tahoma"/>
          <w:i/>
        </w:rPr>
        <w:t>P</w:t>
      </w:r>
      <w:r w:rsidR="009E68A9" w:rsidRPr="00C317B7">
        <w:rPr>
          <w:rFonts w:ascii="Tahoma" w:hAnsi="Tahoma" w:cs="Tahoma"/>
          <w:i/>
        </w:rPr>
        <w:t>our diffusion immédiate</w:t>
      </w:r>
    </w:p>
    <w:p w:rsidR="00926995" w:rsidRPr="00C317B7" w:rsidRDefault="009E68A9" w:rsidP="00C317B7">
      <w:pPr>
        <w:spacing w:after="0" w:line="240" w:lineRule="auto"/>
        <w:rPr>
          <w:rFonts w:ascii="Tahoma" w:hAnsi="Tahoma" w:cs="Tahoma"/>
          <w:b/>
          <w:sz w:val="28"/>
          <w:szCs w:val="28"/>
        </w:rPr>
      </w:pPr>
      <w:r w:rsidRPr="00C317B7">
        <w:rPr>
          <w:rFonts w:ascii="Tahoma" w:hAnsi="Tahoma" w:cs="Tahoma"/>
          <w:b/>
          <w:sz w:val="28"/>
          <w:szCs w:val="28"/>
        </w:rPr>
        <w:t>C</w:t>
      </w:r>
      <w:r w:rsidR="001A6CE6" w:rsidRPr="00C317B7">
        <w:rPr>
          <w:rFonts w:ascii="Tahoma" w:hAnsi="Tahoma" w:cs="Tahoma"/>
          <w:b/>
          <w:sz w:val="28"/>
          <w:szCs w:val="28"/>
        </w:rPr>
        <w:t>ommuniqué</w:t>
      </w:r>
    </w:p>
    <w:p w:rsidR="001A6CE6" w:rsidRPr="0092158E" w:rsidRDefault="001A6CE6" w:rsidP="001A6CE6">
      <w:pPr>
        <w:spacing w:after="0"/>
        <w:jc w:val="center"/>
        <w:rPr>
          <w:rFonts w:ascii="Tahoma" w:hAnsi="Tahoma" w:cs="Tahoma"/>
          <w:b/>
        </w:rPr>
      </w:pPr>
    </w:p>
    <w:p w:rsidR="00153CCE" w:rsidRPr="00C317B7" w:rsidRDefault="00153CCE" w:rsidP="00153CCE">
      <w:pPr>
        <w:spacing w:after="0"/>
        <w:jc w:val="center"/>
        <w:rPr>
          <w:rFonts w:ascii="Tahoma" w:hAnsi="Tahoma" w:cs="Tahoma"/>
          <w:b/>
          <w:sz w:val="32"/>
          <w:szCs w:val="32"/>
        </w:rPr>
      </w:pPr>
      <w:r w:rsidRPr="00C317B7">
        <w:rPr>
          <w:rFonts w:ascii="Tahoma" w:hAnsi="Tahoma" w:cs="Tahoma"/>
          <w:b/>
          <w:sz w:val="32"/>
          <w:szCs w:val="32"/>
        </w:rPr>
        <w:t>Cominar reme</w:t>
      </w:r>
      <w:r w:rsidR="00621980" w:rsidRPr="00C317B7">
        <w:rPr>
          <w:rFonts w:ascii="Tahoma" w:hAnsi="Tahoma" w:cs="Tahoma"/>
          <w:b/>
          <w:sz w:val="32"/>
          <w:szCs w:val="32"/>
        </w:rPr>
        <w:t>t 3</w:t>
      </w:r>
      <w:r w:rsidR="00EE6CB7" w:rsidRPr="00C317B7">
        <w:rPr>
          <w:rFonts w:ascii="Tahoma" w:hAnsi="Tahoma" w:cs="Tahoma"/>
          <w:b/>
          <w:sz w:val="32"/>
          <w:szCs w:val="32"/>
        </w:rPr>
        <w:t>5 000 $</w:t>
      </w:r>
      <w:r w:rsidR="009E68A9" w:rsidRPr="00C317B7">
        <w:rPr>
          <w:rFonts w:ascii="Tahoma" w:hAnsi="Tahoma" w:cs="Tahoma"/>
          <w:b/>
          <w:sz w:val="32"/>
          <w:szCs w:val="32"/>
        </w:rPr>
        <w:t xml:space="preserve"> </w:t>
      </w:r>
      <w:r w:rsidRPr="00C317B7">
        <w:rPr>
          <w:rFonts w:ascii="Tahoma" w:hAnsi="Tahoma" w:cs="Tahoma"/>
          <w:b/>
          <w:sz w:val="32"/>
          <w:szCs w:val="32"/>
        </w:rPr>
        <w:t>en</w:t>
      </w:r>
      <w:r w:rsidR="00EE6CB7" w:rsidRPr="00C317B7">
        <w:rPr>
          <w:rFonts w:ascii="Tahoma" w:hAnsi="Tahoma" w:cs="Tahoma"/>
          <w:b/>
          <w:sz w:val="32"/>
          <w:szCs w:val="32"/>
        </w:rPr>
        <w:t xml:space="preserve"> bourses </w:t>
      </w:r>
      <w:r w:rsidR="00C317B7" w:rsidRPr="00C317B7">
        <w:rPr>
          <w:rFonts w:ascii="Tahoma" w:hAnsi="Tahoma" w:cs="Tahoma"/>
          <w:b/>
          <w:sz w:val="32"/>
          <w:szCs w:val="32"/>
        </w:rPr>
        <w:t xml:space="preserve">au sein de la </w:t>
      </w:r>
    </w:p>
    <w:p w:rsidR="00683F2F" w:rsidRPr="00C317B7" w:rsidRDefault="00153CCE" w:rsidP="0092158E">
      <w:pPr>
        <w:spacing w:after="0"/>
        <w:jc w:val="center"/>
        <w:rPr>
          <w:rFonts w:ascii="Tahoma" w:hAnsi="Tahoma" w:cs="Tahoma"/>
          <w:b/>
          <w:sz w:val="32"/>
          <w:szCs w:val="32"/>
        </w:rPr>
      </w:pPr>
      <w:r w:rsidRPr="00C317B7">
        <w:rPr>
          <w:rFonts w:ascii="Tahoma" w:hAnsi="Tahoma" w:cs="Tahoma"/>
          <w:b/>
          <w:sz w:val="32"/>
          <w:szCs w:val="32"/>
        </w:rPr>
        <w:t xml:space="preserve">Fondation de l’athlète d’excellence </w:t>
      </w:r>
    </w:p>
    <w:p w:rsidR="00683F2F" w:rsidRPr="0092158E" w:rsidRDefault="00683F2F" w:rsidP="00683F2F">
      <w:pPr>
        <w:spacing w:after="0" w:line="240" w:lineRule="auto"/>
        <w:jc w:val="center"/>
        <w:rPr>
          <w:rFonts w:ascii="Tahoma" w:hAnsi="Tahoma" w:cs="Tahoma"/>
          <w:b/>
        </w:rPr>
      </w:pPr>
    </w:p>
    <w:p w:rsidR="00EE6CB7" w:rsidRPr="0092158E" w:rsidRDefault="00B05265" w:rsidP="00C317B7">
      <w:pPr>
        <w:spacing w:after="0" w:line="240" w:lineRule="auto"/>
        <w:jc w:val="both"/>
        <w:rPr>
          <w:rFonts w:ascii="Tahoma" w:hAnsi="Tahoma" w:cs="Tahoma"/>
        </w:rPr>
      </w:pPr>
      <w:r w:rsidRPr="0092158E">
        <w:rPr>
          <w:rFonts w:ascii="Tahoma" w:hAnsi="Tahoma" w:cs="Tahoma"/>
          <w:b/>
        </w:rPr>
        <w:t xml:space="preserve">Québec, le </w:t>
      </w:r>
      <w:r w:rsidR="00C317B7">
        <w:rPr>
          <w:rFonts w:ascii="Tahoma" w:hAnsi="Tahoma" w:cs="Tahoma"/>
          <w:b/>
        </w:rPr>
        <w:t>7</w:t>
      </w:r>
      <w:r w:rsidR="00EE6CB7" w:rsidRPr="0092158E">
        <w:rPr>
          <w:rFonts w:ascii="Tahoma" w:hAnsi="Tahoma" w:cs="Tahoma"/>
          <w:b/>
        </w:rPr>
        <w:t xml:space="preserve"> </w:t>
      </w:r>
      <w:r w:rsidRPr="0092158E">
        <w:rPr>
          <w:rFonts w:ascii="Tahoma" w:hAnsi="Tahoma" w:cs="Tahoma"/>
          <w:b/>
        </w:rPr>
        <w:t>septembre 201</w:t>
      </w:r>
      <w:r w:rsidR="00C317B7">
        <w:rPr>
          <w:rFonts w:ascii="Tahoma" w:hAnsi="Tahoma" w:cs="Tahoma"/>
          <w:b/>
        </w:rPr>
        <w:t>7</w:t>
      </w:r>
      <w:r w:rsidR="009E68A9" w:rsidRPr="0092158E">
        <w:rPr>
          <w:rFonts w:ascii="Tahoma" w:hAnsi="Tahoma" w:cs="Tahoma"/>
          <w:b/>
        </w:rPr>
        <w:t xml:space="preserve"> – </w:t>
      </w:r>
      <w:r w:rsidR="005C26AD" w:rsidRPr="0092158E">
        <w:rPr>
          <w:rFonts w:ascii="Tahoma" w:hAnsi="Tahoma" w:cs="Tahoma"/>
        </w:rPr>
        <w:t xml:space="preserve">M. Michel Dallaire, </w:t>
      </w:r>
      <w:r w:rsidR="009C78C9" w:rsidRPr="0092158E">
        <w:rPr>
          <w:rFonts w:ascii="Tahoma" w:hAnsi="Tahoma" w:cs="Tahoma"/>
        </w:rPr>
        <w:t xml:space="preserve">chef de la direction de Cominar </w:t>
      </w:r>
      <w:r w:rsidR="005C26AD" w:rsidRPr="0092158E">
        <w:rPr>
          <w:rFonts w:ascii="Tahoma" w:hAnsi="Tahoma" w:cs="Tahoma"/>
        </w:rPr>
        <w:t xml:space="preserve">a dévoilé les noms des 10 étudiants-athlètes </w:t>
      </w:r>
      <w:r w:rsidR="00C317B7">
        <w:rPr>
          <w:rFonts w:ascii="Tahoma" w:hAnsi="Tahoma" w:cs="Tahoma"/>
        </w:rPr>
        <w:t>d</w:t>
      </w:r>
      <w:r w:rsidR="005C26AD" w:rsidRPr="0092158E">
        <w:rPr>
          <w:rFonts w:ascii="Tahoma" w:hAnsi="Tahoma" w:cs="Tahoma"/>
        </w:rPr>
        <w:t>és</w:t>
      </w:r>
      <w:r w:rsidR="003D46AA" w:rsidRPr="0092158E">
        <w:rPr>
          <w:rFonts w:ascii="Tahoma" w:hAnsi="Tahoma" w:cs="Tahoma"/>
        </w:rPr>
        <w:t>ignés par la Fondation de l’athlète d’excellence du Québ</w:t>
      </w:r>
      <w:r w:rsidR="00621980">
        <w:rPr>
          <w:rFonts w:ascii="Tahoma" w:hAnsi="Tahoma" w:cs="Tahoma"/>
        </w:rPr>
        <w:t>ec (FAEQ) qui se sont partagés 3</w:t>
      </w:r>
      <w:r w:rsidR="003D46AA" w:rsidRPr="0092158E">
        <w:rPr>
          <w:rFonts w:ascii="Tahoma" w:hAnsi="Tahoma" w:cs="Tahoma"/>
        </w:rPr>
        <w:t xml:space="preserve">5 000 $ en </w:t>
      </w:r>
      <w:r w:rsidR="005C26AD" w:rsidRPr="0092158E">
        <w:rPr>
          <w:rFonts w:ascii="Tahoma" w:hAnsi="Tahoma" w:cs="Tahoma"/>
        </w:rPr>
        <w:t xml:space="preserve">bourses individuelles dans le cadre de la </w:t>
      </w:r>
      <w:r w:rsidR="00C317B7">
        <w:rPr>
          <w:rFonts w:ascii="Tahoma" w:hAnsi="Tahoma" w:cs="Tahoma"/>
        </w:rPr>
        <w:t>3</w:t>
      </w:r>
      <w:r w:rsidR="003D46AA" w:rsidRPr="0092158E">
        <w:rPr>
          <w:rFonts w:ascii="Tahoma" w:hAnsi="Tahoma" w:cs="Tahoma"/>
          <w:vertAlign w:val="superscript"/>
        </w:rPr>
        <w:t>e</w:t>
      </w:r>
      <w:r w:rsidR="00C317B7">
        <w:rPr>
          <w:rFonts w:ascii="Tahoma" w:hAnsi="Tahoma" w:cs="Tahoma"/>
        </w:rPr>
        <w:t xml:space="preserve"> édition du P</w:t>
      </w:r>
      <w:r w:rsidR="003D46AA" w:rsidRPr="0092158E">
        <w:rPr>
          <w:rFonts w:ascii="Tahoma" w:hAnsi="Tahoma" w:cs="Tahoma"/>
        </w:rPr>
        <w:t>rogramme de bourses Cominar</w:t>
      </w:r>
      <w:r w:rsidR="005C26AD" w:rsidRPr="0092158E">
        <w:rPr>
          <w:rFonts w:ascii="Tahoma" w:hAnsi="Tahoma" w:cs="Tahoma"/>
        </w:rPr>
        <w:t>.</w:t>
      </w:r>
    </w:p>
    <w:p w:rsidR="00C317B7" w:rsidRDefault="00C317B7" w:rsidP="00C317B7">
      <w:pPr>
        <w:spacing w:after="0" w:line="240" w:lineRule="auto"/>
        <w:jc w:val="both"/>
        <w:rPr>
          <w:rFonts w:ascii="Tahoma" w:hAnsi="Tahoma" w:cs="Tahoma"/>
        </w:rPr>
      </w:pPr>
    </w:p>
    <w:p w:rsidR="00FB6D7F" w:rsidRPr="0092158E" w:rsidRDefault="00E74FEB" w:rsidP="00C317B7">
      <w:pPr>
        <w:spacing w:after="0" w:line="240" w:lineRule="auto"/>
        <w:jc w:val="both"/>
        <w:rPr>
          <w:rFonts w:ascii="Tahoma" w:hAnsi="Tahoma" w:cs="Tahoma"/>
        </w:rPr>
      </w:pPr>
      <w:r>
        <w:rPr>
          <w:rFonts w:ascii="Tahoma" w:hAnsi="Tahoma" w:cs="Tahoma"/>
        </w:rPr>
        <w:t>Quatre</w:t>
      </w:r>
      <w:r w:rsidR="00E1134D" w:rsidRPr="00820DDE">
        <w:rPr>
          <w:rFonts w:ascii="Tahoma" w:hAnsi="Tahoma" w:cs="Tahoma"/>
        </w:rPr>
        <w:t xml:space="preserve"> </w:t>
      </w:r>
      <w:r w:rsidR="00FB6D7F" w:rsidRPr="00820DDE">
        <w:rPr>
          <w:rFonts w:ascii="Tahoma" w:hAnsi="Tahoma" w:cs="Tahoma"/>
        </w:rPr>
        <w:t>bourses d’Excellence académique ont été octroyées afin de récompenser les excel</w:t>
      </w:r>
      <w:r w:rsidR="00E1134D" w:rsidRPr="00820DDE">
        <w:rPr>
          <w:rFonts w:ascii="Tahoma" w:hAnsi="Tahoma" w:cs="Tahoma"/>
        </w:rPr>
        <w:t xml:space="preserve">lentes notes scolaires, </w:t>
      </w:r>
      <w:r w:rsidRPr="00E74FEB">
        <w:rPr>
          <w:rFonts w:ascii="Tahoma" w:hAnsi="Tahoma" w:cs="Tahoma"/>
        </w:rPr>
        <w:t>cinq</w:t>
      </w:r>
      <w:r w:rsidR="00E1134D" w:rsidRPr="0092158E">
        <w:rPr>
          <w:rFonts w:ascii="Tahoma" w:hAnsi="Tahoma" w:cs="Tahoma"/>
        </w:rPr>
        <w:t xml:space="preserve"> </w:t>
      </w:r>
      <w:r w:rsidR="00FB6D7F" w:rsidRPr="0092158E">
        <w:rPr>
          <w:rFonts w:ascii="Tahoma" w:hAnsi="Tahoma" w:cs="Tahoma"/>
        </w:rPr>
        <w:t xml:space="preserve">bourses de Soutien à la réussite académique et sportive ont été remises dans le but d’encourager la conciliation du sport et des études, un défi de plus en plus important pour les </w:t>
      </w:r>
      <w:r w:rsidR="00E1134D" w:rsidRPr="0092158E">
        <w:rPr>
          <w:rFonts w:ascii="Tahoma" w:hAnsi="Tahoma" w:cs="Tahoma"/>
        </w:rPr>
        <w:t>étudiants-</w:t>
      </w:r>
      <w:r w:rsidR="00FB6D7F" w:rsidRPr="0092158E">
        <w:rPr>
          <w:rFonts w:ascii="Tahoma" w:hAnsi="Tahoma" w:cs="Tahoma"/>
        </w:rPr>
        <w:t>athlètes de pointe</w:t>
      </w:r>
      <w:r w:rsidR="00621980">
        <w:rPr>
          <w:rFonts w:ascii="Tahoma" w:hAnsi="Tahoma" w:cs="Tahoma"/>
        </w:rPr>
        <w:t>,</w:t>
      </w:r>
      <w:r w:rsidR="00FB6D7F" w:rsidRPr="0092158E">
        <w:rPr>
          <w:rFonts w:ascii="Tahoma" w:hAnsi="Tahoma" w:cs="Tahoma"/>
        </w:rPr>
        <w:t xml:space="preserve"> et </w:t>
      </w:r>
      <w:r w:rsidR="00FB6D7F" w:rsidRPr="00034115">
        <w:rPr>
          <w:rFonts w:ascii="Tahoma" w:hAnsi="Tahoma" w:cs="Tahoma"/>
        </w:rPr>
        <w:t>une</w:t>
      </w:r>
      <w:r w:rsidR="00FB6D7F" w:rsidRPr="0092158E">
        <w:rPr>
          <w:rFonts w:ascii="Tahoma" w:hAnsi="Tahoma" w:cs="Tahoma"/>
        </w:rPr>
        <w:t xml:space="preserve"> bourse de Recrutement</w:t>
      </w:r>
      <w:r w:rsidR="00621980">
        <w:rPr>
          <w:rFonts w:ascii="Tahoma" w:hAnsi="Tahoma" w:cs="Tahoma"/>
        </w:rPr>
        <w:t xml:space="preserve"> universitaire</w:t>
      </w:r>
      <w:r w:rsidR="00FB6D7F" w:rsidRPr="0092158E">
        <w:rPr>
          <w:rFonts w:ascii="Tahoma" w:hAnsi="Tahoma" w:cs="Tahoma"/>
        </w:rPr>
        <w:t xml:space="preserve"> a été offerte à un étudiant-athlète qui gradue d’un cégep d’ici et qui désire poursuivre sa carrière académique et sporti</w:t>
      </w:r>
      <w:r w:rsidR="00621980">
        <w:rPr>
          <w:rFonts w:ascii="Tahoma" w:hAnsi="Tahoma" w:cs="Tahoma"/>
        </w:rPr>
        <w:t>ve dans une université québécoise</w:t>
      </w:r>
      <w:r w:rsidR="00FB6D7F" w:rsidRPr="0092158E">
        <w:rPr>
          <w:rFonts w:ascii="Tahoma" w:hAnsi="Tahoma" w:cs="Tahoma"/>
        </w:rPr>
        <w:t>.</w:t>
      </w:r>
    </w:p>
    <w:p w:rsidR="00C317B7" w:rsidRDefault="00C317B7" w:rsidP="00244363">
      <w:pPr>
        <w:spacing w:after="0" w:line="240" w:lineRule="auto"/>
        <w:jc w:val="both"/>
        <w:rPr>
          <w:rFonts w:ascii="Tahoma" w:hAnsi="Tahoma" w:cs="Tahoma"/>
        </w:rPr>
      </w:pPr>
    </w:p>
    <w:p w:rsidR="00621980" w:rsidRDefault="00EE6CB7" w:rsidP="00244363">
      <w:pPr>
        <w:spacing w:after="0" w:line="240" w:lineRule="auto"/>
        <w:jc w:val="both"/>
        <w:rPr>
          <w:rFonts w:ascii="Tahoma" w:hAnsi="Tahoma" w:cs="Tahoma"/>
        </w:rPr>
      </w:pPr>
      <w:r w:rsidRPr="00244363">
        <w:rPr>
          <w:rFonts w:ascii="Tahoma" w:hAnsi="Tahoma" w:cs="Tahoma"/>
        </w:rPr>
        <w:t xml:space="preserve">Le Programme de bourses Cominar est destiné à venir en aide financièrement à de jeunes étudiants-athlètes très prometteurs qui ont le potentiel de se distinguer sur la scène internationale. </w:t>
      </w:r>
      <w:r w:rsidR="00621980" w:rsidRPr="00244363">
        <w:rPr>
          <w:rFonts w:ascii="Tahoma" w:hAnsi="Tahoma" w:cs="Tahoma"/>
        </w:rPr>
        <w:t>M. Dallaire a déclaré : «</w:t>
      </w:r>
      <w:r w:rsidR="00AC6F30" w:rsidRPr="00EA136B">
        <w:rPr>
          <w:rFonts w:ascii="Tahoma" w:hAnsi="Tahoma" w:cs="Tahoma"/>
        </w:rPr>
        <w:t xml:space="preserve">Cominar est fier de s’associer, pour une troisième année consécutive, au programme de la Fondation de l’athlète d’excellence du Québec. En soutenant le sport amateur et les jeunes étudiants-athlètes grâce au Programme de bourses Cominar, nous leur permettons de poursuivre leurs études tout en visant l’excellence sportive. </w:t>
      </w:r>
      <w:r w:rsidR="00621980" w:rsidRPr="00312F59">
        <w:rPr>
          <w:rFonts w:ascii="Tahoma" w:hAnsi="Tahoma" w:cs="Tahoma"/>
        </w:rPr>
        <w:t>».</w:t>
      </w:r>
      <w:r w:rsidR="00621980">
        <w:rPr>
          <w:rFonts w:ascii="Tahoma" w:hAnsi="Tahoma" w:cs="Tahoma"/>
        </w:rPr>
        <w:t xml:space="preserve"> </w:t>
      </w:r>
    </w:p>
    <w:p w:rsidR="00432230" w:rsidRDefault="00432230" w:rsidP="0092158E">
      <w:pPr>
        <w:jc w:val="center"/>
        <w:rPr>
          <w:rFonts w:ascii="Tahoma" w:hAnsi="Tahoma" w:cs="Tahoma"/>
          <w:b/>
        </w:rPr>
      </w:pPr>
    </w:p>
    <w:p w:rsidR="00B06851" w:rsidRDefault="00480D7C" w:rsidP="0092158E">
      <w:pPr>
        <w:jc w:val="center"/>
        <w:rPr>
          <w:rFonts w:ascii="Tahoma" w:hAnsi="Tahoma" w:cs="Tahoma"/>
          <w:b/>
        </w:rPr>
      </w:pPr>
      <w:r w:rsidRPr="0092158E">
        <w:rPr>
          <w:rFonts w:ascii="Tahoma" w:hAnsi="Tahoma" w:cs="Tahoma"/>
          <w:b/>
        </w:rPr>
        <w:t>1</w:t>
      </w:r>
      <w:r w:rsidR="005C26AD" w:rsidRPr="0092158E">
        <w:rPr>
          <w:rFonts w:ascii="Tahoma" w:hAnsi="Tahoma" w:cs="Tahoma"/>
          <w:b/>
        </w:rPr>
        <w:t>0</w:t>
      </w:r>
      <w:r w:rsidR="00683F2F" w:rsidRPr="0092158E">
        <w:rPr>
          <w:rFonts w:ascii="Tahoma" w:hAnsi="Tahoma" w:cs="Tahoma"/>
          <w:b/>
        </w:rPr>
        <w:t xml:space="preserve"> récipiendaire</w:t>
      </w:r>
      <w:r w:rsidRPr="0092158E">
        <w:rPr>
          <w:rFonts w:ascii="Tahoma" w:hAnsi="Tahoma" w:cs="Tahoma"/>
          <w:b/>
        </w:rPr>
        <w:t>s du Programme de bourses Cominar</w:t>
      </w:r>
      <w:r w:rsidR="00C317B7">
        <w:rPr>
          <w:rFonts w:ascii="Tahoma" w:hAnsi="Tahoma" w:cs="Tahoma"/>
          <w:b/>
        </w:rPr>
        <w:t xml:space="preserve"> 2017</w:t>
      </w:r>
    </w:p>
    <w:p w:rsidR="00E74FEB" w:rsidRPr="00DC1964" w:rsidRDefault="00EA136B" w:rsidP="0092158E">
      <w:pPr>
        <w:jc w:val="center"/>
        <w:rPr>
          <w:rFonts w:ascii="Tahoma" w:hAnsi="Tahoma" w:cs="Tahoma"/>
          <w:b/>
        </w:rPr>
      </w:pPr>
      <w:r w:rsidRPr="00EA136B">
        <w:drawing>
          <wp:inline distT="0" distB="0" distL="0" distR="0">
            <wp:extent cx="5943600" cy="21004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00413"/>
                    </a:xfrm>
                    <a:prstGeom prst="rect">
                      <a:avLst/>
                    </a:prstGeom>
                    <a:noFill/>
                    <a:ln>
                      <a:noFill/>
                    </a:ln>
                  </pic:spPr>
                </pic:pic>
              </a:graphicData>
            </a:graphic>
          </wp:inline>
        </w:drawing>
      </w:r>
    </w:p>
    <w:p w:rsidR="00E74FEB" w:rsidRDefault="00E74FEB" w:rsidP="0092158E">
      <w:pPr>
        <w:jc w:val="center"/>
        <w:rPr>
          <w:rFonts w:ascii="Tahoma" w:hAnsi="Tahoma" w:cs="Tahoma"/>
          <w:b/>
        </w:rPr>
      </w:pPr>
      <w:bookmarkStart w:id="0" w:name="_GoBack"/>
      <w:bookmarkEnd w:id="0"/>
    </w:p>
    <w:p w:rsidR="00244363" w:rsidRDefault="00244363" w:rsidP="00C317B7">
      <w:pPr>
        <w:spacing w:after="0" w:line="240" w:lineRule="auto"/>
        <w:rPr>
          <w:rFonts w:ascii="Tahoma" w:hAnsi="Tahoma" w:cs="Tahoma"/>
          <w:b/>
          <w:i/>
        </w:rPr>
      </w:pPr>
    </w:p>
    <w:p w:rsidR="00683F2F" w:rsidRPr="00C317B7" w:rsidRDefault="00480D7C" w:rsidP="00C317B7">
      <w:pPr>
        <w:spacing w:after="0" w:line="240" w:lineRule="auto"/>
        <w:rPr>
          <w:rFonts w:ascii="Tahoma" w:hAnsi="Tahoma" w:cs="Tahoma"/>
          <w:b/>
          <w:i/>
        </w:rPr>
      </w:pPr>
      <w:r w:rsidRPr="00C317B7">
        <w:rPr>
          <w:rFonts w:ascii="Tahoma" w:hAnsi="Tahoma" w:cs="Tahoma"/>
          <w:b/>
          <w:i/>
        </w:rPr>
        <w:lastRenderedPageBreak/>
        <w:t>À propos de Cominar</w:t>
      </w:r>
    </w:p>
    <w:p w:rsidR="00683F2F" w:rsidRPr="00244363" w:rsidRDefault="00847587" w:rsidP="00C317B7">
      <w:pPr>
        <w:spacing w:after="0" w:line="240" w:lineRule="auto"/>
        <w:jc w:val="both"/>
        <w:rPr>
          <w:rFonts w:ascii="Tahoma" w:hAnsi="Tahoma" w:cs="Tahoma"/>
        </w:rPr>
      </w:pPr>
      <w:r w:rsidRPr="00847587">
        <w:rPr>
          <w:rFonts w:ascii="Tahoma" w:hAnsi="Tahoma" w:cs="Tahoma"/>
          <w:b/>
        </w:rPr>
        <w:t xml:space="preserve">Cominar </w:t>
      </w:r>
      <w:r w:rsidRPr="00EA136B">
        <w:rPr>
          <w:rFonts w:ascii="Tahoma" w:hAnsi="Tahoma" w:cs="Tahoma"/>
        </w:rPr>
        <w:t xml:space="preserve">est le troisième fonds de placement immobilier diversifié en importance au Canada et demeure, à ce jour, le plus important propriétaire d’immeubles commerciaux dans la province de Québec. </w:t>
      </w:r>
      <w:r>
        <w:rPr>
          <w:rFonts w:ascii="Tahoma" w:hAnsi="Tahoma" w:cs="Tahoma"/>
        </w:rPr>
        <w:t>Cominar</w:t>
      </w:r>
      <w:r w:rsidRPr="00EA136B">
        <w:rPr>
          <w:rFonts w:ascii="Tahoma" w:hAnsi="Tahoma" w:cs="Tahoma"/>
        </w:rPr>
        <w:t xml:space="preserve"> est propriétaire d’un portefeuille constitué de 524 immeubles répartis dans trois secteurs d’activité distincts, soit les immeubles de bureaux, les immeubles commerciaux et les immeubles industriels et polyvalents. Le portefeuille immobilier de Cominar totalise 44,1 millions de pieds carrés de superficie au Québec, en Ontario, dans les provinces de l’Atlantique et dans l’Ouest canadien. Cominar a pour objectifs de verser des distributions de liquidités accrues à ses porteurs de parts et de maximiser la valeur pour ceux-ci grâce à une gestion proactive.</w:t>
      </w:r>
      <w:r w:rsidR="00FF4558" w:rsidRPr="00244363">
        <w:rPr>
          <w:rFonts w:ascii="Tahoma" w:hAnsi="Tahoma" w:cs="Tahoma"/>
        </w:rPr>
        <w:t xml:space="preserve"> </w:t>
      </w:r>
    </w:p>
    <w:p w:rsidR="00C317B7" w:rsidRDefault="00C317B7" w:rsidP="00C317B7">
      <w:pPr>
        <w:pStyle w:val="Retraitcorpsdetexte2"/>
        <w:spacing w:after="0" w:line="240" w:lineRule="auto"/>
        <w:ind w:left="0" w:right="-234"/>
        <w:rPr>
          <w:rFonts w:ascii="Tahoma" w:hAnsi="Tahoma" w:cs="Tahoma"/>
          <w:b/>
          <w:i/>
          <w:noProof w:val="0"/>
          <w:sz w:val="22"/>
          <w:szCs w:val="22"/>
        </w:rPr>
      </w:pPr>
    </w:p>
    <w:p w:rsidR="00C317B7" w:rsidRPr="00C317B7" w:rsidRDefault="00C317B7" w:rsidP="00C317B7">
      <w:pPr>
        <w:pStyle w:val="Retraitcorpsdetexte2"/>
        <w:spacing w:after="0" w:line="240" w:lineRule="auto"/>
        <w:ind w:left="0" w:right="-234"/>
        <w:rPr>
          <w:rFonts w:ascii="Tahoma" w:hAnsi="Tahoma" w:cs="Tahoma"/>
          <w:b/>
          <w:i/>
          <w:noProof w:val="0"/>
          <w:sz w:val="22"/>
          <w:szCs w:val="22"/>
        </w:rPr>
      </w:pPr>
      <w:r w:rsidRPr="00C317B7">
        <w:rPr>
          <w:rFonts w:ascii="Tahoma" w:hAnsi="Tahoma" w:cs="Tahoma"/>
          <w:b/>
          <w:i/>
          <w:noProof w:val="0"/>
          <w:sz w:val="22"/>
          <w:szCs w:val="22"/>
        </w:rPr>
        <w:t>À propos de la Fondation de l’athlète d’excellence (FAEQ)</w:t>
      </w:r>
    </w:p>
    <w:p w:rsidR="00C317B7" w:rsidRPr="00C317B7" w:rsidRDefault="00C317B7" w:rsidP="00C317B7">
      <w:pPr>
        <w:pStyle w:val="Retraitcorpsdetexte2"/>
        <w:spacing w:after="0" w:line="240" w:lineRule="auto"/>
        <w:ind w:left="0" w:right="-232"/>
        <w:jc w:val="both"/>
        <w:rPr>
          <w:rStyle w:val="Lienhypertexte"/>
          <w:rFonts w:ascii="Tahoma" w:hAnsi="Tahoma" w:cs="Tahoma"/>
          <w:b/>
          <w:noProof w:val="0"/>
          <w:sz w:val="22"/>
          <w:szCs w:val="22"/>
        </w:rPr>
      </w:pPr>
      <w:r w:rsidRPr="00C317B7">
        <w:rPr>
          <w:rFonts w:ascii="Tahoma" w:hAnsi="Tahoma" w:cs="Tahoma"/>
          <w:noProof w:val="0"/>
          <w:sz w:val="22"/>
          <w:szCs w:val="22"/>
        </w:rPr>
        <w:t xml:space="preserve">La FAEQ (faeq.com) se démarque par son approche personnalisée, sa rigueur de gestion et son rôle d’influence auprès du milieu du sport et de l’éducation. En 2017, elle octroiera 1 350 000 $ en bourses individuelles à 475 étudiants-athlètes, en plus de leur offrir des services d’accompagnement en termes d’orientation scolaire et de conciliation du sport et des études. La FAEQ, ses partenaires et ses anciens boursiers sont tous unis pour la réussite scolaire, sportive et professionnelle de ses boursiers. </w:t>
      </w:r>
      <w:r w:rsidRPr="00C317B7">
        <w:rPr>
          <w:rFonts w:ascii="Tahoma" w:hAnsi="Tahoma" w:cs="Tahoma"/>
          <w:b/>
          <w:noProof w:val="0"/>
          <w:sz w:val="22"/>
          <w:szCs w:val="22"/>
        </w:rPr>
        <w:t xml:space="preserve">À noter que les 22, 23 et 24 septembre prochain à Mont-Tremblant se tiendra le Défi 808 Bonneville, événement cycliste d’envergure, au profit de la FAEQ. Les inscriptions sont ouvertes au </w:t>
      </w:r>
      <w:hyperlink r:id="rId11" w:history="1">
        <w:r w:rsidRPr="00C317B7">
          <w:rPr>
            <w:rStyle w:val="Lienhypertexte"/>
            <w:rFonts w:ascii="Tahoma" w:hAnsi="Tahoma" w:cs="Tahoma"/>
            <w:b/>
            <w:noProof w:val="0"/>
            <w:sz w:val="22"/>
            <w:szCs w:val="22"/>
          </w:rPr>
          <w:t>defi808bonneville.com</w:t>
        </w:r>
      </w:hyperlink>
    </w:p>
    <w:p w:rsidR="0092158E" w:rsidRPr="00C317B7" w:rsidRDefault="0092158E" w:rsidP="00C317B7">
      <w:pPr>
        <w:pStyle w:val="Corpsdetexte2"/>
        <w:rPr>
          <w:rFonts w:ascii="Tahoma" w:hAnsi="Tahoma" w:cs="Tahoma"/>
          <w:bCs/>
          <w:lang w:val="fr-CA"/>
        </w:rPr>
      </w:pPr>
    </w:p>
    <w:p w:rsidR="0092158E" w:rsidRPr="00C317B7" w:rsidRDefault="0092158E" w:rsidP="00C317B7">
      <w:pPr>
        <w:pStyle w:val="Corpsdetexte2"/>
        <w:rPr>
          <w:rFonts w:ascii="Tahoma" w:hAnsi="Tahoma" w:cs="Tahoma"/>
          <w:bCs/>
          <w:lang w:val="fr-CA"/>
        </w:rPr>
      </w:pPr>
    </w:p>
    <w:p w:rsidR="0092158E" w:rsidRPr="00C317B7" w:rsidRDefault="0092158E" w:rsidP="00C317B7">
      <w:pPr>
        <w:pStyle w:val="Corpsdetexte2"/>
        <w:rPr>
          <w:rFonts w:ascii="Tahoma" w:hAnsi="Tahoma" w:cs="Tahoma"/>
          <w:bCs/>
          <w:lang w:val="fr-CA"/>
        </w:rPr>
      </w:pPr>
    </w:p>
    <w:p w:rsidR="0092158E" w:rsidRPr="00C317B7" w:rsidRDefault="0092158E" w:rsidP="00C317B7">
      <w:pPr>
        <w:pStyle w:val="Corpsdetexte2"/>
        <w:jc w:val="center"/>
        <w:rPr>
          <w:rFonts w:ascii="Tahoma" w:hAnsi="Tahoma" w:cs="Tahoma"/>
        </w:rPr>
      </w:pPr>
      <w:r w:rsidRPr="00C317B7">
        <w:rPr>
          <w:rFonts w:ascii="Tahoma" w:hAnsi="Tahoma" w:cs="Tahoma"/>
        </w:rPr>
        <w:t>–</w:t>
      </w:r>
      <w:r w:rsidR="004C7DDD" w:rsidRPr="00C317B7">
        <w:rPr>
          <w:rFonts w:ascii="Tahoma" w:hAnsi="Tahoma" w:cs="Tahoma"/>
        </w:rPr>
        <w:t xml:space="preserve"> 30 </w:t>
      </w:r>
      <w:r w:rsidR="00FB6D7F" w:rsidRPr="00C317B7">
        <w:rPr>
          <w:rFonts w:ascii="Tahoma" w:hAnsi="Tahoma" w:cs="Tahoma"/>
        </w:rPr>
        <w:t>–</w:t>
      </w:r>
    </w:p>
    <w:p w:rsidR="0092158E" w:rsidRPr="00C317B7" w:rsidRDefault="0092158E" w:rsidP="00C317B7">
      <w:pPr>
        <w:spacing w:after="0" w:line="240" w:lineRule="auto"/>
        <w:jc w:val="center"/>
        <w:rPr>
          <w:rFonts w:ascii="Tahoma" w:hAnsi="Tahoma" w:cs="Tahoma"/>
        </w:rPr>
      </w:pPr>
    </w:p>
    <w:p w:rsidR="009C78C9" w:rsidRPr="00C317B7" w:rsidRDefault="009C78C9" w:rsidP="00C317B7">
      <w:pPr>
        <w:spacing w:after="0" w:line="240" w:lineRule="auto"/>
        <w:rPr>
          <w:rFonts w:ascii="Tahoma" w:hAnsi="Tahoma" w:cs="Tahoma"/>
        </w:rPr>
      </w:pPr>
      <w:r w:rsidRPr="00C317B7">
        <w:rPr>
          <w:rFonts w:ascii="Tahoma" w:hAnsi="Tahoma" w:cs="Tahoma"/>
        </w:rPr>
        <w:t>Lyne Morin</w:t>
      </w:r>
      <w:r w:rsidR="00FB6D7F" w:rsidRPr="00C317B7">
        <w:rPr>
          <w:rFonts w:ascii="Tahoma" w:hAnsi="Tahoma" w:cs="Tahoma"/>
          <w:b/>
        </w:rPr>
        <w:tab/>
      </w:r>
      <w:r w:rsidR="00FB6D7F" w:rsidRPr="00C317B7">
        <w:rPr>
          <w:rFonts w:ascii="Tahoma" w:hAnsi="Tahoma" w:cs="Tahoma"/>
          <w:b/>
        </w:rPr>
        <w:tab/>
      </w:r>
      <w:r w:rsidR="00FB6D7F" w:rsidRPr="00C317B7">
        <w:rPr>
          <w:rFonts w:ascii="Tahoma" w:hAnsi="Tahoma" w:cs="Tahoma"/>
          <w:b/>
        </w:rPr>
        <w:tab/>
      </w:r>
      <w:r w:rsidR="00FB6D7F" w:rsidRPr="00C317B7">
        <w:rPr>
          <w:rFonts w:ascii="Tahoma" w:hAnsi="Tahoma" w:cs="Tahoma"/>
          <w:b/>
        </w:rPr>
        <w:tab/>
      </w:r>
      <w:r w:rsidR="00FB6D7F" w:rsidRPr="00C317B7">
        <w:rPr>
          <w:rFonts w:ascii="Tahoma" w:hAnsi="Tahoma" w:cs="Tahoma"/>
          <w:b/>
        </w:rPr>
        <w:tab/>
      </w:r>
      <w:r w:rsidR="00FB6D7F" w:rsidRPr="00C317B7">
        <w:rPr>
          <w:rFonts w:ascii="Tahoma" w:hAnsi="Tahoma" w:cs="Tahoma"/>
          <w:b/>
        </w:rPr>
        <w:tab/>
      </w:r>
      <w:r w:rsidR="00C317B7">
        <w:rPr>
          <w:rFonts w:ascii="Tahoma" w:hAnsi="Tahoma" w:cs="Tahoma"/>
        </w:rPr>
        <w:t>Annie Pelletier</w:t>
      </w:r>
    </w:p>
    <w:p w:rsidR="009C78C9" w:rsidRPr="00C317B7" w:rsidRDefault="0092158E" w:rsidP="00C317B7">
      <w:pPr>
        <w:spacing w:after="0" w:line="240" w:lineRule="auto"/>
        <w:rPr>
          <w:rFonts w:ascii="Tahoma" w:hAnsi="Tahoma" w:cs="Tahoma"/>
        </w:rPr>
      </w:pPr>
      <w:r w:rsidRPr="00C317B7">
        <w:rPr>
          <w:rFonts w:ascii="Tahoma" w:hAnsi="Tahoma" w:cs="Tahoma"/>
        </w:rPr>
        <w:t>Adjointe au chef de la direction</w:t>
      </w:r>
      <w:r w:rsidR="00C317B7">
        <w:rPr>
          <w:rFonts w:ascii="Tahoma" w:hAnsi="Tahoma" w:cs="Tahoma"/>
        </w:rPr>
        <w:tab/>
      </w:r>
      <w:r w:rsidR="00C317B7">
        <w:rPr>
          <w:rFonts w:ascii="Tahoma" w:hAnsi="Tahoma" w:cs="Tahoma"/>
        </w:rPr>
        <w:tab/>
      </w:r>
      <w:r w:rsidR="00C317B7">
        <w:rPr>
          <w:rFonts w:ascii="Tahoma" w:hAnsi="Tahoma" w:cs="Tahoma"/>
        </w:rPr>
        <w:tab/>
        <w:t>Directrice des communications</w:t>
      </w:r>
    </w:p>
    <w:p w:rsidR="009C78C9" w:rsidRPr="00C317B7" w:rsidRDefault="009C78C9" w:rsidP="00C317B7">
      <w:pPr>
        <w:spacing w:after="0" w:line="240" w:lineRule="auto"/>
        <w:rPr>
          <w:rFonts w:ascii="Tahoma" w:hAnsi="Tahoma" w:cs="Tahoma"/>
        </w:rPr>
      </w:pPr>
      <w:r w:rsidRPr="00C317B7">
        <w:rPr>
          <w:rFonts w:ascii="Tahoma" w:hAnsi="Tahoma" w:cs="Tahoma"/>
        </w:rPr>
        <w:t xml:space="preserve">Cominar </w:t>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t>Fondat</w:t>
      </w:r>
      <w:r w:rsidR="00C317B7">
        <w:rPr>
          <w:rFonts w:ascii="Tahoma" w:hAnsi="Tahoma" w:cs="Tahoma"/>
        </w:rPr>
        <w:t xml:space="preserve">ion de l’athlète d’excellence </w:t>
      </w:r>
      <w:r w:rsidRPr="00C317B7">
        <w:rPr>
          <w:rFonts w:ascii="Tahoma" w:hAnsi="Tahoma" w:cs="Tahoma"/>
        </w:rPr>
        <w:tab/>
      </w:r>
    </w:p>
    <w:p w:rsidR="00C317B7" w:rsidRDefault="009C78C9" w:rsidP="00C317B7">
      <w:pPr>
        <w:spacing w:after="0" w:line="240" w:lineRule="auto"/>
        <w:rPr>
          <w:rFonts w:ascii="Tahoma" w:hAnsi="Tahoma" w:cs="Tahoma"/>
        </w:rPr>
      </w:pPr>
      <w:r w:rsidRPr="00C317B7">
        <w:rPr>
          <w:rFonts w:ascii="Tahoma" w:hAnsi="Tahoma" w:cs="Tahoma"/>
        </w:rPr>
        <w:t xml:space="preserve">Téléphone : </w:t>
      </w:r>
      <w:r w:rsidR="0092158E" w:rsidRPr="00C317B7">
        <w:rPr>
          <w:rFonts w:ascii="Tahoma" w:hAnsi="Tahoma" w:cs="Tahoma"/>
        </w:rPr>
        <w:t>418-681-6300 poste 2223</w:t>
      </w:r>
      <w:r w:rsidR="00C317B7">
        <w:rPr>
          <w:rFonts w:ascii="Tahoma" w:hAnsi="Tahoma" w:cs="Tahoma"/>
        </w:rPr>
        <w:tab/>
      </w:r>
      <w:r w:rsidR="00C317B7">
        <w:rPr>
          <w:rFonts w:ascii="Tahoma" w:hAnsi="Tahoma" w:cs="Tahoma"/>
        </w:rPr>
        <w:tab/>
      </w:r>
      <w:r w:rsidR="00C317B7" w:rsidRPr="00C317B7">
        <w:rPr>
          <w:rFonts w:ascii="Tahoma" w:hAnsi="Tahoma" w:cs="Tahoma"/>
        </w:rPr>
        <w:t>Téléphone : 514 252-3171 poste 3</w:t>
      </w:r>
      <w:r w:rsidR="00C317B7">
        <w:rPr>
          <w:rFonts w:ascii="Tahoma" w:hAnsi="Tahoma" w:cs="Tahoma"/>
        </w:rPr>
        <w:t>538</w:t>
      </w:r>
    </w:p>
    <w:p w:rsidR="009C78C9" w:rsidRDefault="00432230" w:rsidP="00C317B7">
      <w:pPr>
        <w:spacing w:after="0" w:line="240" w:lineRule="auto"/>
        <w:rPr>
          <w:rFonts w:ascii="Tahoma" w:hAnsi="Tahoma" w:cs="Tahoma"/>
        </w:rPr>
      </w:pPr>
      <w:hyperlink r:id="rId12" w:history="1">
        <w:r w:rsidR="00C317B7" w:rsidRPr="00991F27">
          <w:rPr>
            <w:rStyle w:val="Lienhypertexte"/>
            <w:rFonts w:ascii="Tahoma" w:hAnsi="Tahoma" w:cs="Tahoma"/>
          </w:rPr>
          <w:t>Lyne.morin@cominar.com</w:t>
        </w:r>
      </w:hyperlink>
      <w:r w:rsidR="009C78C9" w:rsidRPr="00C317B7">
        <w:rPr>
          <w:rFonts w:ascii="Tahoma" w:hAnsi="Tahoma" w:cs="Tahoma"/>
        </w:rPr>
        <w:tab/>
      </w:r>
      <w:r w:rsidR="009C78C9" w:rsidRPr="00C317B7">
        <w:rPr>
          <w:rFonts w:ascii="Tahoma" w:hAnsi="Tahoma" w:cs="Tahoma"/>
        </w:rPr>
        <w:tab/>
      </w:r>
      <w:r w:rsidR="009C78C9" w:rsidRPr="00C317B7">
        <w:rPr>
          <w:rFonts w:ascii="Tahoma" w:hAnsi="Tahoma" w:cs="Tahoma"/>
        </w:rPr>
        <w:tab/>
      </w:r>
      <w:r w:rsidR="009C78C9" w:rsidRPr="00C317B7">
        <w:rPr>
          <w:rFonts w:ascii="Tahoma" w:hAnsi="Tahoma" w:cs="Tahoma"/>
        </w:rPr>
        <w:tab/>
      </w:r>
      <w:hyperlink r:id="rId13" w:history="1">
        <w:r w:rsidR="00C317B7" w:rsidRPr="00991F27">
          <w:rPr>
            <w:rStyle w:val="Lienhypertexte"/>
            <w:rFonts w:ascii="Tahoma" w:hAnsi="Tahoma" w:cs="Tahoma"/>
          </w:rPr>
          <w:t>annie.pelletier@faeq.com</w:t>
        </w:r>
      </w:hyperlink>
    </w:p>
    <w:p w:rsidR="00C317B7" w:rsidRPr="00C317B7" w:rsidRDefault="00C317B7" w:rsidP="00C317B7">
      <w:pPr>
        <w:spacing w:after="0" w:line="240" w:lineRule="auto"/>
        <w:rPr>
          <w:rFonts w:ascii="Tahoma" w:hAnsi="Tahoma" w:cs="Tahoma"/>
        </w:rPr>
      </w:pPr>
    </w:p>
    <w:p w:rsidR="00FB6D7F" w:rsidRPr="00C317B7" w:rsidRDefault="00B05265" w:rsidP="00C317B7">
      <w:pPr>
        <w:spacing w:after="0" w:line="240" w:lineRule="auto"/>
        <w:rPr>
          <w:rFonts w:ascii="Tahoma" w:hAnsi="Tahoma" w:cs="Tahoma"/>
        </w:rPr>
      </w:pPr>
      <w:r w:rsidRPr="00C317B7">
        <w:rPr>
          <w:rFonts w:ascii="Tahoma" w:hAnsi="Tahoma" w:cs="Tahoma"/>
        </w:rPr>
        <w:tab/>
      </w:r>
      <w:r w:rsidR="00FB6D7F" w:rsidRPr="00C317B7">
        <w:rPr>
          <w:rFonts w:ascii="Tahoma" w:hAnsi="Tahoma" w:cs="Tahoma"/>
        </w:rPr>
        <w:tab/>
      </w:r>
      <w:r w:rsidR="00FB6D7F" w:rsidRPr="00C317B7">
        <w:rPr>
          <w:rFonts w:ascii="Tahoma" w:hAnsi="Tahoma" w:cs="Tahoma"/>
        </w:rPr>
        <w:tab/>
      </w:r>
      <w:r w:rsidR="00FB6D7F" w:rsidRPr="00C317B7">
        <w:rPr>
          <w:rFonts w:ascii="Tahoma" w:hAnsi="Tahoma" w:cs="Tahoma"/>
        </w:rPr>
        <w:tab/>
      </w:r>
    </w:p>
    <w:p w:rsidR="00B57D22" w:rsidRPr="00C317B7" w:rsidRDefault="00B57D22" w:rsidP="00C317B7">
      <w:pPr>
        <w:spacing w:after="0" w:line="240" w:lineRule="auto"/>
        <w:rPr>
          <w:rFonts w:ascii="Tahoma" w:hAnsi="Tahoma" w:cs="Tahoma"/>
        </w:rPr>
      </w:pP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r w:rsidRPr="00C317B7">
        <w:rPr>
          <w:rFonts w:ascii="Tahoma" w:hAnsi="Tahoma" w:cs="Tahoma"/>
        </w:rPr>
        <w:tab/>
      </w:r>
    </w:p>
    <w:p w:rsidR="00B57D22" w:rsidRPr="00C317B7" w:rsidRDefault="00B57D22" w:rsidP="00C317B7">
      <w:pPr>
        <w:spacing w:after="0" w:line="240" w:lineRule="auto"/>
        <w:rPr>
          <w:rFonts w:ascii="Tahoma" w:hAnsi="Tahoma" w:cs="Tahoma"/>
        </w:rPr>
      </w:pPr>
    </w:p>
    <w:p w:rsidR="00FB6D7F" w:rsidRPr="00C317B7" w:rsidRDefault="00FB6D7F" w:rsidP="00C317B7">
      <w:pPr>
        <w:spacing w:after="0" w:line="240" w:lineRule="auto"/>
        <w:rPr>
          <w:rFonts w:ascii="Tahoma" w:hAnsi="Tahoma" w:cs="Tahoma"/>
        </w:rPr>
      </w:pPr>
    </w:p>
    <w:sectPr w:rsidR="00FB6D7F" w:rsidRPr="00C317B7" w:rsidSect="00EC051C">
      <w:pgSz w:w="12240" w:h="15840"/>
      <w:pgMar w:top="544" w:right="1440" w:bottom="54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58" w:rsidRDefault="00FF4558" w:rsidP="00FF4558">
      <w:pPr>
        <w:spacing w:after="0" w:line="240" w:lineRule="auto"/>
      </w:pPr>
      <w:r>
        <w:separator/>
      </w:r>
    </w:p>
  </w:endnote>
  <w:endnote w:type="continuationSeparator" w:id="0">
    <w:p w:rsidR="00FF4558" w:rsidRDefault="00FF4558" w:rsidP="00F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58" w:rsidRDefault="00FF4558" w:rsidP="00FF4558">
      <w:pPr>
        <w:spacing w:after="0" w:line="240" w:lineRule="auto"/>
      </w:pPr>
      <w:r>
        <w:separator/>
      </w:r>
    </w:p>
  </w:footnote>
  <w:footnote w:type="continuationSeparator" w:id="0">
    <w:p w:rsidR="00FF4558" w:rsidRDefault="00FF4558" w:rsidP="00FF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651C0"/>
    <w:multiLevelType w:val="hybridMultilevel"/>
    <w:tmpl w:val="CBF05CA0"/>
    <w:lvl w:ilvl="0" w:tplc="574C801A">
      <w:start w:val="21"/>
      <w:numFmt w:val="bullet"/>
      <w:lvlText w:val="-"/>
      <w:lvlJc w:val="left"/>
      <w:pPr>
        <w:ind w:left="720" w:hanging="360"/>
      </w:pPr>
      <w:rPr>
        <w:rFonts w:ascii="Century Gothic" w:eastAsiaTheme="minorHAnsi" w:hAnsi="Century Gothic"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6B65B89"/>
    <w:multiLevelType w:val="hybridMultilevel"/>
    <w:tmpl w:val="99863B84"/>
    <w:lvl w:ilvl="0" w:tplc="361C6192">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2" w15:restartNumberingAfterBreak="0">
    <w:nsid w:val="63045A64"/>
    <w:multiLevelType w:val="hybridMultilevel"/>
    <w:tmpl w:val="FF4CB8E6"/>
    <w:lvl w:ilvl="0" w:tplc="AF64308E">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9"/>
    <w:rsid w:val="00034115"/>
    <w:rsid w:val="0004323E"/>
    <w:rsid w:val="000B49C1"/>
    <w:rsid w:val="000F03E1"/>
    <w:rsid w:val="00117723"/>
    <w:rsid w:val="00146926"/>
    <w:rsid w:val="00153CCE"/>
    <w:rsid w:val="0017191B"/>
    <w:rsid w:val="001A6CE6"/>
    <w:rsid w:val="002364C8"/>
    <w:rsid w:val="00244363"/>
    <w:rsid w:val="002727EE"/>
    <w:rsid w:val="00312F59"/>
    <w:rsid w:val="003539D2"/>
    <w:rsid w:val="00384B65"/>
    <w:rsid w:val="003D46AA"/>
    <w:rsid w:val="00432230"/>
    <w:rsid w:val="00480D7C"/>
    <w:rsid w:val="004C7DDD"/>
    <w:rsid w:val="005C26AD"/>
    <w:rsid w:val="005E507C"/>
    <w:rsid w:val="00621980"/>
    <w:rsid w:val="00683F2F"/>
    <w:rsid w:val="006A2D23"/>
    <w:rsid w:val="007032B9"/>
    <w:rsid w:val="0073162F"/>
    <w:rsid w:val="0074216B"/>
    <w:rsid w:val="00781638"/>
    <w:rsid w:val="007B02DE"/>
    <w:rsid w:val="007D4ED7"/>
    <w:rsid w:val="00820DDE"/>
    <w:rsid w:val="00843D1C"/>
    <w:rsid w:val="00847587"/>
    <w:rsid w:val="00877F18"/>
    <w:rsid w:val="00893BF9"/>
    <w:rsid w:val="008B20D1"/>
    <w:rsid w:val="00920222"/>
    <w:rsid w:val="0092158E"/>
    <w:rsid w:val="00926995"/>
    <w:rsid w:val="009C78C9"/>
    <w:rsid w:val="009D7BB1"/>
    <w:rsid w:val="009E68A9"/>
    <w:rsid w:val="00A56202"/>
    <w:rsid w:val="00A74A00"/>
    <w:rsid w:val="00AC6F30"/>
    <w:rsid w:val="00B05265"/>
    <w:rsid w:val="00B06851"/>
    <w:rsid w:val="00B530A8"/>
    <w:rsid w:val="00B5760A"/>
    <w:rsid w:val="00B57D22"/>
    <w:rsid w:val="00B851C2"/>
    <w:rsid w:val="00C04505"/>
    <w:rsid w:val="00C317B7"/>
    <w:rsid w:val="00C7047F"/>
    <w:rsid w:val="00C73501"/>
    <w:rsid w:val="00CF1CCE"/>
    <w:rsid w:val="00D20E28"/>
    <w:rsid w:val="00DC115F"/>
    <w:rsid w:val="00DC1964"/>
    <w:rsid w:val="00E1134D"/>
    <w:rsid w:val="00E13BF6"/>
    <w:rsid w:val="00E56A9D"/>
    <w:rsid w:val="00E74FEB"/>
    <w:rsid w:val="00EA136B"/>
    <w:rsid w:val="00EC051C"/>
    <w:rsid w:val="00EE6CB7"/>
    <w:rsid w:val="00F440B0"/>
    <w:rsid w:val="00F8499B"/>
    <w:rsid w:val="00FB6D7F"/>
    <w:rsid w:val="00FD5238"/>
    <w:rsid w:val="00FF4558"/>
    <w:rsid w:val="00FF54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EABA6-7C92-4EAB-948E-53BD61D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8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8A9"/>
    <w:rPr>
      <w:rFonts w:ascii="Tahoma" w:hAnsi="Tahoma" w:cs="Tahoma"/>
      <w:sz w:val="16"/>
      <w:szCs w:val="16"/>
    </w:rPr>
  </w:style>
  <w:style w:type="paragraph" w:styleId="Paragraphedeliste">
    <w:name w:val="List Paragraph"/>
    <w:basedOn w:val="Normal"/>
    <w:uiPriority w:val="34"/>
    <w:qFormat/>
    <w:rsid w:val="004C7DDD"/>
    <w:pPr>
      <w:ind w:left="720"/>
      <w:contextualSpacing/>
    </w:pPr>
  </w:style>
  <w:style w:type="character" w:styleId="Accentuation">
    <w:name w:val="Emphasis"/>
    <w:qFormat/>
    <w:rsid w:val="004C7DDD"/>
    <w:rPr>
      <w:rFonts w:cs="Times New Roman"/>
      <w:i/>
    </w:rPr>
  </w:style>
  <w:style w:type="character" w:styleId="Lienhypertexte">
    <w:name w:val="Hyperlink"/>
    <w:rsid w:val="004C7DDD"/>
    <w:rPr>
      <w:rFonts w:cs="Times New Roman"/>
      <w:color w:val="0000FF"/>
      <w:u w:val="single"/>
    </w:rPr>
  </w:style>
  <w:style w:type="paragraph" w:styleId="En-tte">
    <w:name w:val="header"/>
    <w:basedOn w:val="Normal"/>
    <w:link w:val="En-tteCar"/>
    <w:uiPriority w:val="99"/>
    <w:unhideWhenUsed/>
    <w:rsid w:val="00FF4558"/>
    <w:pPr>
      <w:tabs>
        <w:tab w:val="center" w:pos="4320"/>
        <w:tab w:val="right" w:pos="8640"/>
      </w:tabs>
      <w:spacing w:after="0" w:line="240" w:lineRule="auto"/>
    </w:pPr>
  </w:style>
  <w:style w:type="character" w:customStyle="1" w:styleId="En-tteCar">
    <w:name w:val="En-tête Car"/>
    <w:basedOn w:val="Policepardfaut"/>
    <w:link w:val="En-tte"/>
    <w:uiPriority w:val="99"/>
    <w:rsid w:val="00FF4558"/>
  </w:style>
  <w:style w:type="paragraph" w:styleId="Pieddepage">
    <w:name w:val="footer"/>
    <w:basedOn w:val="Normal"/>
    <w:link w:val="PieddepageCar"/>
    <w:uiPriority w:val="99"/>
    <w:unhideWhenUsed/>
    <w:rsid w:val="00FF45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4558"/>
  </w:style>
  <w:style w:type="paragraph" w:styleId="Corpsdetexte2">
    <w:name w:val="Body Text 2"/>
    <w:basedOn w:val="Normal"/>
    <w:link w:val="Corpsdetexte2Car"/>
    <w:rsid w:val="000F03E1"/>
    <w:pPr>
      <w:spacing w:after="0" w:line="240" w:lineRule="auto"/>
      <w:jc w:val="both"/>
    </w:pPr>
    <w:rPr>
      <w:rFonts w:ascii="Arial" w:eastAsia="Times New Roman" w:hAnsi="Arial" w:cs="Arial"/>
      <w:lang w:val="fr-FR" w:eastAsia="fr-FR"/>
    </w:rPr>
  </w:style>
  <w:style w:type="character" w:customStyle="1" w:styleId="Corpsdetexte2Car">
    <w:name w:val="Corps de texte 2 Car"/>
    <w:basedOn w:val="Policepardfaut"/>
    <w:link w:val="Corpsdetexte2"/>
    <w:rsid w:val="000F03E1"/>
    <w:rPr>
      <w:rFonts w:ascii="Arial" w:eastAsia="Times New Roman" w:hAnsi="Arial" w:cs="Arial"/>
      <w:lang w:val="fr-FR" w:eastAsia="fr-FR"/>
    </w:rPr>
  </w:style>
  <w:style w:type="paragraph" w:styleId="Retraitcorpsdetexte2">
    <w:name w:val="Body Text Indent 2"/>
    <w:basedOn w:val="Normal"/>
    <w:link w:val="Retraitcorpsdetexte2Car"/>
    <w:uiPriority w:val="99"/>
    <w:unhideWhenUsed/>
    <w:rsid w:val="00C317B7"/>
    <w:pPr>
      <w:spacing w:after="120" w:line="480" w:lineRule="auto"/>
      <w:ind w:left="283"/>
    </w:pPr>
    <w:rPr>
      <w:rFonts w:ascii="Arial" w:eastAsia="Times New Roman" w:hAnsi="Arial" w:cs="Arial"/>
      <w:noProof/>
      <w:sz w:val="24"/>
      <w:szCs w:val="24"/>
    </w:rPr>
  </w:style>
  <w:style w:type="character" w:customStyle="1" w:styleId="Retraitcorpsdetexte2Car">
    <w:name w:val="Retrait corps de texte 2 Car"/>
    <w:basedOn w:val="Policepardfaut"/>
    <w:link w:val="Retraitcorpsdetexte2"/>
    <w:uiPriority w:val="99"/>
    <w:rsid w:val="00C317B7"/>
    <w:rPr>
      <w:rFonts w:ascii="Arial" w:eastAsia="Times New Roman"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5317">
      <w:bodyDiv w:val="1"/>
      <w:marLeft w:val="0"/>
      <w:marRight w:val="0"/>
      <w:marTop w:val="0"/>
      <w:marBottom w:val="0"/>
      <w:divBdr>
        <w:top w:val="none" w:sz="0" w:space="0" w:color="auto"/>
        <w:left w:val="none" w:sz="0" w:space="0" w:color="auto"/>
        <w:bottom w:val="none" w:sz="0" w:space="0" w:color="auto"/>
        <w:right w:val="none" w:sz="0" w:space="0" w:color="auto"/>
      </w:divBdr>
    </w:div>
    <w:div w:id="395127664">
      <w:bodyDiv w:val="1"/>
      <w:marLeft w:val="0"/>
      <w:marRight w:val="0"/>
      <w:marTop w:val="0"/>
      <w:marBottom w:val="0"/>
      <w:divBdr>
        <w:top w:val="none" w:sz="0" w:space="0" w:color="auto"/>
        <w:left w:val="none" w:sz="0" w:space="0" w:color="auto"/>
        <w:bottom w:val="none" w:sz="0" w:space="0" w:color="auto"/>
        <w:right w:val="none" w:sz="0" w:space="0" w:color="auto"/>
      </w:divBdr>
    </w:div>
    <w:div w:id="1234971538">
      <w:bodyDiv w:val="1"/>
      <w:marLeft w:val="0"/>
      <w:marRight w:val="0"/>
      <w:marTop w:val="0"/>
      <w:marBottom w:val="0"/>
      <w:divBdr>
        <w:top w:val="none" w:sz="0" w:space="0" w:color="auto"/>
        <w:left w:val="none" w:sz="0" w:space="0" w:color="auto"/>
        <w:bottom w:val="none" w:sz="0" w:space="0" w:color="auto"/>
        <w:right w:val="none" w:sz="0" w:space="0" w:color="auto"/>
      </w:divBdr>
    </w:div>
    <w:div w:id="1314872342">
      <w:bodyDiv w:val="1"/>
      <w:marLeft w:val="0"/>
      <w:marRight w:val="0"/>
      <w:marTop w:val="0"/>
      <w:marBottom w:val="0"/>
      <w:divBdr>
        <w:top w:val="none" w:sz="0" w:space="0" w:color="auto"/>
        <w:left w:val="none" w:sz="0" w:space="0" w:color="auto"/>
        <w:bottom w:val="none" w:sz="0" w:space="0" w:color="auto"/>
        <w:right w:val="none" w:sz="0" w:space="0" w:color="auto"/>
      </w:divBdr>
    </w:div>
    <w:div w:id="1760174672">
      <w:bodyDiv w:val="1"/>
      <w:marLeft w:val="0"/>
      <w:marRight w:val="0"/>
      <w:marTop w:val="0"/>
      <w:marBottom w:val="0"/>
      <w:divBdr>
        <w:top w:val="none" w:sz="0" w:space="0" w:color="auto"/>
        <w:left w:val="none" w:sz="0" w:space="0" w:color="auto"/>
        <w:bottom w:val="none" w:sz="0" w:space="0" w:color="auto"/>
        <w:right w:val="none" w:sz="0" w:space="0" w:color="auto"/>
      </w:divBdr>
    </w:div>
    <w:div w:id="2110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ie.pelletier@fae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e.morin@comin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i808bonnevil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44C3-C144-4F8A-9177-91E5B83A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Elise Bourbonnais</cp:lastModifiedBy>
  <cp:revision>5</cp:revision>
  <cp:lastPrinted>2017-08-17T15:16:00Z</cp:lastPrinted>
  <dcterms:created xsi:type="dcterms:W3CDTF">2017-09-05T18:35:00Z</dcterms:created>
  <dcterms:modified xsi:type="dcterms:W3CDTF">2017-09-06T12:39:00Z</dcterms:modified>
</cp:coreProperties>
</file>