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36" w:rsidRPr="00441410" w:rsidRDefault="00E225F2">
      <w:pPr>
        <w:rPr>
          <w:rFonts w:ascii="Tahoma" w:hAnsi="Tahoma" w:cs="Tahoma"/>
        </w:rPr>
      </w:pPr>
      <w:bookmarkStart w:id="0" w:name="_GoBack"/>
      <w:bookmarkEnd w:id="0"/>
      <w:r w:rsidRPr="00441410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-283210</wp:posOffset>
            </wp:positionV>
            <wp:extent cx="2203450" cy="740410"/>
            <wp:effectExtent l="0" t="0" r="6350" b="2540"/>
            <wp:wrapNone/>
            <wp:docPr id="1" name="Image 1" descr="BN_3D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N_3D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0B9" w:rsidRPr="00441410">
        <w:rPr>
          <w:rFonts w:ascii="Tahoma" w:hAnsi="Tahoma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3711419</wp:posOffset>
            </wp:positionH>
            <wp:positionV relativeFrom="paragraph">
              <wp:posOffset>-363280</wp:posOffset>
            </wp:positionV>
            <wp:extent cx="2487930" cy="739140"/>
            <wp:effectExtent l="0" t="0" r="762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Q_Logo-H_2016-2020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836" w:rsidRPr="00441410" w:rsidRDefault="00927836">
      <w:pPr>
        <w:rPr>
          <w:rFonts w:ascii="Tahoma" w:hAnsi="Tahoma" w:cs="Tahoma"/>
        </w:rPr>
      </w:pPr>
    </w:p>
    <w:p w:rsidR="0004323E" w:rsidRPr="00A33D01" w:rsidRDefault="00927836" w:rsidP="001920B5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A33D01">
        <w:rPr>
          <w:rFonts w:ascii="Tahoma" w:hAnsi="Tahoma" w:cs="Tahoma"/>
          <w:b/>
          <w:i/>
          <w:sz w:val="20"/>
          <w:szCs w:val="20"/>
        </w:rPr>
        <w:t>Pour diffusion immédiate</w:t>
      </w:r>
    </w:p>
    <w:p w:rsidR="00927836" w:rsidRPr="00A33D01" w:rsidRDefault="00927836" w:rsidP="001920B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3D01">
        <w:rPr>
          <w:rFonts w:ascii="Tahoma" w:hAnsi="Tahoma" w:cs="Tahoma"/>
          <w:b/>
          <w:sz w:val="24"/>
          <w:szCs w:val="24"/>
        </w:rPr>
        <w:t>Communiqué de presse</w:t>
      </w:r>
    </w:p>
    <w:p w:rsidR="001920B5" w:rsidRPr="009649A7" w:rsidRDefault="001920B5" w:rsidP="001920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649A7" w:rsidRDefault="009649A7" w:rsidP="001920B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927836" w:rsidRPr="009649A7" w:rsidRDefault="00927836" w:rsidP="001920B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9649A7">
        <w:rPr>
          <w:rFonts w:ascii="Tahoma" w:hAnsi="Tahoma" w:cs="Tahoma"/>
          <w:b/>
          <w:sz w:val="32"/>
          <w:szCs w:val="32"/>
        </w:rPr>
        <w:t xml:space="preserve">La Banque Nationale </w:t>
      </w:r>
      <w:r w:rsidR="00824B3B">
        <w:rPr>
          <w:rFonts w:ascii="Tahoma" w:hAnsi="Tahoma" w:cs="Tahoma"/>
          <w:b/>
          <w:sz w:val="32"/>
          <w:szCs w:val="32"/>
        </w:rPr>
        <w:t>remet 130</w:t>
      </w:r>
      <w:r w:rsidR="001920B5" w:rsidRPr="009649A7">
        <w:rPr>
          <w:rFonts w:ascii="Tahoma" w:hAnsi="Tahoma" w:cs="Tahoma"/>
          <w:b/>
          <w:sz w:val="32"/>
          <w:szCs w:val="32"/>
        </w:rPr>
        <w:t> 000 $ en bourses à</w:t>
      </w:r>
      <w:r w:rsidR="005C61AC" w:rsidRPr="009649A7">
        <w:rPr>
          <w:rFonts w:ascii="Tahoma" w:hAnsi="Tahoma" w:cs="Tahoma"/>
          <w:b/>
          <w:sz w:val="32"/>
          <w:szCs w:val="32"/>
        </w:rPr>
        <w:t xml:space="preserve"> </w:t>
      </w:r>
      <w:r w:rsidR="00490E05">
        <w:rPr>
          <w:rFonts w:ascii="Tahoma" w:hAnsi="Tahoma" w:cs="Tahoma"/>
          <w:b/>
          <w:sz w:val="32"/>
          <w:szCs w:val="32"/>
        </w:rPr>
        <w:br/>
      </w:r>
      <w:r w:rsidR="005C61AC" w:rsidRPr="009649A7">
        <w:rPr>
          <w:rFonts w:ascii="Tahoma" w:hAnsi="Tahoma" w:cs="Tahoma"/>
          <w:b/>
          <w:sz w:val="32"/>
          <w:szCs w:val="32"/>
        </w:rPr>
        <w:t>40 étudiants-athlètes émérites</w:t>
      </w:r>
      <w:r w:rsidR="001920B5" w:rsidRPr="009649A7">
        <w:rPr>
          <w:rFonts w:ascii="Tahoma" w:hAnsi="Tahoma" w:cs="Tahoma"/>
          <w:b/>
          <w:sz w:val="32"/>
          <w:szCs w:val="32"/>
        </w:rPr>
        <w:t xml:space="preserve"> </w:t>
      </w:r>
      <w:r w:rsidRPr="009649A7">
        <w:rPr>
          <w:rFonts w:ascii="Tahoma" w:hAnsi="Tahoma" w:cs="Tahoma"/>
          <w:b/>
          <w:sz w:val="32"/>
          <w:szCs w:val="32"/>
        </w:rPr>
        <w:t xml:space="preserve"> </w:t>
      </w:r>
    </w:p>
    <w:p w:rsidR="001920B5" w:rsidRPr="009649A7" w:rsidRDefault="001920B5" w:rsidP="001920B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145AA" w:rsidRPr="009649A7" w:rsidRDefault="00927836" w:rsidP="00490E05">
      <w:pPr>
        <w:spacing w:after="0"/>
        <w:jc w:val="both"/>
        <w:rPr>
          <w:rFonts w:ascii="Tahoma" w:hAnsi="Tahoma" w:cs="Tahoma"/>
          <w:b/>
        </w:rPr>
      </w:pPr>
      <w:r w:rsidRPr="009649A7">
        <w:rPr>
          <w:rFonts w:ascii="Tahoma" w:hAnsi="Tahoma" w:cs="Tahoma"/>
          <w:b/>
        </w:rPr>
        <w:t xml:space="preserve">Montréal, le 23 mars </w:t>
      </w:r>
      <w:r w:rsidR="00441410" w:rsidRPr="009649A7">
        <w:rPr>
          <w:rFonts w:ascii="Tahoma" w:hAnsi="Tahoma" w:cs="Tahoma"/>
          <w:b/>
        </w:rPr>
        <w:t>2017</w:t>
      </w:r>
      <w:r w:rsidR="007145AA" w:rsidRPr="009649A7">
        <w:rPr>
          <w:rFonts w:ascii="Tahoma" w:hAnsi="Tahoma" w:cs="Tahoma"/>
          <w:b/>
        </w:rPr>
        <w:t xml:space="preserve"> – </w:t>
      </w:r>
      <w:r w:rsidR="007145AA" w:rsidRPr="009649A7">
        <w:rPr>
          <w:rFonts w:ascii="Tahoma" w:hAnsi="Tahoma" w:cs="Tahoma"/>
        </w:rPr>
        <w:t xml:space="preserve">Quarante étudiants-athlètes de partout au Québec, âgés entre </w:t>
      </w:r>
      <w:r w:rsidR="00A33D01">
        <w:rPr>
          <w:rFonts w:ascii="Tahoma" w:hAnsi="Tahoma" w:cs="Tahoma"/>
        </w:rPr>
        <w:t>13</w:t>
      </w:r>
      <w:r w:rsidR="007145AA" w:rsidRPr="009649A7">
        <w:rPr>
          <w:rFonts w:ascii="Tahoma" w:hAnsi="Tahoma" w:cs="Tahoma"/>
        </w:rPr>
        <w:t xml:space="preserve"> et </w:t>
      </w:r>
      <w:r w:rsidR="00A33D01">
        <w:rPr>
          <w:rFonts w:ascii="Tahoma" w:hAnsi="Tahoma" w:cs="Tahoma"/>
        </w:rPr>
        <w:t>26</w:t>
      </w:r>
      <w:r w:rsidR="007145AA" w:rsidRPr="009649A7">
        <w:rPr>
          <w:rFonts w:ascii="Tahoma" w:hAnsi="Tahoma" w:cs="Tahoma"/>
        </w:rPr>
        <w:t xml:space="preserve"> ans, se sont </w:t>
      </w:r>
      <w:r w:rsidR="00A33D01" w:rsidRPr="009649A7">
        <w:rPr>
          <w:rFonts w:ascii="Tahoma" w:hAnsi="Tahoma" w:cs="Tahoma"/>
        </w:rPr>
        <w:t>partagé</w:t>
      </w:r>
      <w:r w:rsidR="00824B3B">
        <w:rPr>
          <w:rFonts w:ascii="Tahoma" w:hAnsi="Tahoma" w:cs="Tahoma"/>
        </w:rPr>
        <w:t xml:space="preserve"> 130</w:t>
      </w:r>
      <w:r w:rsidR="007145AA" w:rsidRPr="009649A7">
        <w:rPr>
          <w:rFonts w:ascii="Tahoma" w:hAnsi="Tahoma" w:cs="Tahoma"/>
        </w:rPr>
        <w:t> 000 $ en bourses individuelles de 2</w:t>
      </w:r>
      <w:r w:rsidR="00490E05">
        <w:rPr>
          <w:rFonts w:ascii="Tahoma" w:hAnsi="Tahoma" w:cs="Tahoma"/>
        </w:rPr>
        <w:t xml:space="preserve"> </w:t>
      </w:r>
      <w:r w:rsidR="007145AA" w:rsidRPr="009649A7">
        <w:rPr>
          <w:rFonts w:ascii="Tahoma" w:hAnsi="Tahoma" w:cs="Tahoma"/>
        </w:rPr>
        <w:t>000 $ ou 4 000 $ d</w:t>
      </w:r>
      <w:r w:rsidR="0027263F" w:rsidRPr="009649A7">
        <w:rPr>
          <w:rFonts w:ascii="Tahoma" w:hAnsi="Tahoma" w:cs="Tahoma"/>
        </w:rPr>
        <w:t>ans le cadre de la 25</w:t>
      </w:r>
      <w:r w:rsidR="0027263F" w:rsidRPr="009649A7">
        <w:rPr>
          <w:rFonts w:ascii="Tahoma" w:hAnsi="Tahoma" w:cs="Tahoma"/>
          <w:vertAlign w:val="superscript"/>
        </w:rPr>
        <w:t>e</w:t>
      </w:r>
      <w:r w:rsidR="0027263F" w:rsidRPr="009649A7">
        <w:rPr>
          <w:rFonts w:ascii="Tahoma" w:hAnsi="Tahoma" w:cs="Tahoma"/>
        </w:rPr>
        <w:t xml:space="preserve"> édition du Programme de bourses Banque Nationale</w:t>
      </w:r>
      <w:r w:rsidR="00A33D01">
        <w:rPr>
          <w:rFonts w:ascii="Tahoma" w:hAnsi="Tahoma" w:cs="Tahoma"/>
        </w:rPr>
        <w:t xml:space="preserve"> au sein de la Fondation de l’athlète d’excellence du Québec (FAEQ)</w:t>
      </w:r>
      <w:r w:rsidR="007145AA" w:rsidRPr="009649A7">
        <w:rPr>
          <w:rFonts w:ascii="Tahoma" w:hAnsi="Tahoma" w:cs="Tahoma"/>
        </w:rPr>
        <w:t>. L’excellence académique, la conciliation du sport et des é</w:t>
      </w:r>
      <w:r w:rsidR="00897AD2">
        <w:rPr>
          <w:rFonts w:ascii="Tahoma" w:hAnsi="Tahoma" w:cs="Tahoma"/>
        </w:rPr>
        <w:t>tudes et</w:t>
      </w:r>
      <w:r w:rsidR="007145AA" w:rsidRPr="009649A7">
        <w:rPr>
          <w:rFonts w:ascii="Tahoma" w:hAnsi="Tahoma" w:cs="Tahoma"/>
        </w:rPr>
        <w:t xml:space="preserve"> l</w:t>
      </w:r>
      <w:r w:rsidR="00897AD2">
        <w:rPr>
          <w:rFonts w:ascii="Tahoma" w:hAnsi="Tahoma" w:cs="Tahoma"/>
        </w:rPr>
        <w:t xml:space="preserve">e leadership </w:t>
      </w:r>
      <w:r w:rsidR="007145AA" w:rsidRPr="009649A7">
        <w:rPr>
          <w:rFonts w:ascii="Tahoma" w:hAnsi="Tahoma" w:cs="Tahoma"/>
        </w:rPr>
        <w:t xml:space="preserve">ont été récompensés. Parmi les récipiendaires 2017, notons la multiple médaillée paralympique </w:t>
      </w:r>
      <w:r w:rsidR="007145AA" w:rsidRPr="009649A7">
        <w:rPr>
          <w:rFonts w:ascii="Tahoma" w:hAnsi="Tahoma" w:cs="Tahoma"/>
          <w:b/>
        </w:rPr>
        <w:t>Aurélie Rivard</w:t>
      </w:r>
      <w:r w:rsidR="00A33D01">
        <w:rPr>
          <w:rFonts w:ascii="Tahoma" w:hAnsi="Tahoma" w:cs="Tahoma"/>
        </w:rPr>
        <w:t xml:space="preserve"> en </w:t>
      </w:r>
      <w:proofErr w:type="spellStart"/>
      <w:r w:rsidR="00F653DE">
        <w:rPr>
          <w:rFonts w:ascii="Tahoma" w:hAnsi="Tahoma" w:cs="Tahoma"/>
        </w:rPr>
        <w:t>para</w:t>
      </w:r>
      <w:r w:rsidR="00A33D01">
        <w:rPr>
          <w:rFonts w:ascii="Tahoma" w:hAnsi="Tahoma" w:cs="Tahoma"/>
        </w:rPr>
        <w:t>natation</w:t>
      </w:r>
      <w:proofErr w:type="spellEnd"/>
      <w:r w:rsidR="00A33D01">
        <w:rPr>
          <w:rFonts w:ascii="Tahoma" w:hAnsi="Tahoma" w:cs="Tahoma"/>
        </w:rPr>
        <w:t>, l’</w:t>
      </w:r>
      <w:r w:rsidR="007145AA" w:rsidRPr="009649A7">
        <w:rPr>
          <w:rFonts w:ascii="Tahoma" w:hAnsi="Tahoma" w:cs="Tahoma"/>
        </w:rPr>
        <w:t>olympien</w:t>
      </w:r>
      <w:r w:rsidR="00A33D01">
        <w:rPr>
          <w:rFonts w:ascii="Tahoma" w:hAnsi="Tahoma" w:cs="Tahoma"/>
        </w:rPr>
        <w:t>ne</w:t>
      </w:r>
      <w:r w:rsidR="007145AA" w:rsidRPr="009649A7">
        <w:rPr>
          <w:rFonts w:ascii="Tahoma" w:hAnsi="Tahoma" w:cs="Tahoma"/>
        </w:rPr>
        <w:t xml:space="preserve"> </w:t>
      </w:r>
      <w:r w:rsidR="007A0098">
        <w:rPr>
          <w:rFonts w:ascii="Tahoma" w:hAnsi="Tahoma" w:cs="Tahoma"/>
          <w:b/>
        </w:rPr>
        <w:t>Catherine Beauchemin-Pinard</w:t>
      </w:r>
      <w:r w:rsidR="007145AA" w:rsidRPr="009649A7">
        <w:rPr>
          <w:rFonts w:ascii="Tahoma" w:hAnsi="Tahoma" w:cs="Tahoma"/>
        </w:rPr>
        <w:t xml:space="preserve"> en judo, </w:t>
      </w:r>
      <w:r w:rsidR="00A33D01">
        <w:rPr>
          <w:rFonts w:ascii="Tahoma" w:hAnsi="Tahoma" w:cs="Tahoma"/>
        </w:rPr>
        <w:t xml:space="preserve">les vice-champions du monde juniors </w:t>
      </w:r>
      <w:r w:rsidR="007145AA" w:rsidRPr="009649A7">
        <w:rPr>
          <w:rFonts w:ascii="Tahoma" w:hAnsi="Tahoma" w:cs="Tahoma"/>
          <w:b/>
        </w:rPr>
        <w:t>Charlie Bilodeau et Julianne Séguin</w:t>
      </w:r>
      <w:r w:rsidR="007145AA" w:rsidRPr="009649A7">
        <w:rPr>
          <w:rFonts w:ascii="Tahoma" w:hAnsi="Tahoma" w:cs="Tahoma"/>
        </w:rPr>
        <w:t xml:space="preserve"> en patinage artistique ainsi que la star montante du tennis canadien </w:t>
      </w:r>
      <w:r w:rsidR="00F653DE">
        <w:rPr>
          <w:rFonts w:ascii="Tahoma" w:hAnsi="Tahoma" w:cs="Tahoma"/>
          <w:b/>
        </w:rPr>
        <w:t>Félix Auger-A</w:t>
      </w:r>
      <w:r w:rsidR="007145AA" w:rsidRPr="009649A7">
        <w:rPr>
          <w:rFonts w:ascii="Tahoma" w:hAnsi="Tahoma" w:cs="Tahoma"/>
          <w:b/>
        </w:rPr>
        <w:t>lias</w:t>
      </w:r>
      <w:r w:rsidR="00F653DE">
        <w:rPr>
          <w:rFonts w:ascii="Tahoma" w:hAnsi="Tahoma" w:cs="Tahoma"/>
          <w:b/>
        </w:rPr>
        <w:t>s</w:t>
      </w:r>
      <w:r w:rsidR="007145AA" w:rsidRPr="009649A7">
        <w:rPr>
          <w:rFonts w:ascii="Tahoma" w:hAnsi="Tahoma" w:cs="Tahoma"/>
          <w:b/>
        </w:rPr>
        <w:t xml:space="preserve">ime. </w:t>
      </w:r>
    </w:p>
    <w:p w:rsidR="007B1000" w:rsidRPr="009649A7" w:rsidRDefault="007B1000" w:rsidP="00490E05">
      <w:pPr>
        <w:spacing w:after="0"/>
        <w:rPr>
          <w:rFonts w:ascii="Tahoma" w:hAnsi="Tahoma" w:cs="Tahoma"/>
          <w:b/>
          <w:i/>
        </w:rPr>
      </w:pPr>
    </w:p>
    <w:p w:rsidR="008E1C61" w:rsidRPr="009649A7" w:rsidRDefault="00056D93" w:rsidP="00490E05">
      <w:pPr>
        <w:jc w:val="both"/>
        <w:rPr>
          <w:rFonts w:ascii="Tahoma" w:hAnsi="Tahoma" w:cs="Tahoma"/>
        </w:rPr>
      </w:pPr>
      <w:r w:rsidRPr="00897AD2">
        <w:rPr>
          <w:rFonts w:ascii="Tahoma" w:hAnsi="Tahoma" w:cs="Tahoma"/>
        </w:rPr>
        <w:t>« La Banque Nationale est fière de faire équipe avec la Fondation et de contribuer au développement des jeunes athlètes depuis maintenant 25 ans. Plus de 320 étudiants-athlètes ont bénéficié au cours de cette période d’un soutien financier. Je tiens à souligner le talent, la discipline et la détermination de chacun d’entre eux »</w:t>
      </w:r>
      <w:r w:rsidR="008E1C61" w:rsidRPr="00897AD2">
        <w:rPr>
          <w:rFonts w:ascii="Tahoma" w:hAnsi="Tahoma" w:cs="Tahoma"/>
        </w:rPr>
        <w:t>, a affirmé M. </w:t>
      </w:r>
      <w:r w:rsidR="00215E94" w:rsidRPr="00897AD2">
        <w:rPr>
          <w:rFonts w:ascii="Tahoma" w:hAnsi="Tahoma" w:cs="Tahoma"/>
        </w:rPr>
        <w:t>Louis Vachon, président et chef de la direction de la Banque Nationale.</w:t>
      </w:r>
    </w:p>
    <w:p w:rsidR="008E1C61" w:rsidRPr="009649A7" w:rsidRDefault="00897AD2" w:rsidP="00490E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Trois</w:t>
      </w:r>
      <w:r w:rsidR="00A33D01" w:rsidRPr="00A33D01">
        <w:rPr>
          <w:rFonts w:ascii="Tahoma" w:hAnsi="Tahoma" w:cs="Tahoma"/>
        </w:rPr>
        <w:t xml:space="preserve"> types de bourses ont été octroyés soit </w:t>
      </w:r>
      <w:r>
        <w:rPr>
          <w:rFonts w:ascii="Tahoma" w:hAnsi="Tahoma" w:cs="Tahoma"/>
        </w:rPr>
        <w:t>1</w:t>
      </w:r>
      <w:r w:rsidR="00337D7E">
        <w:rPr>
          <w:rFonts w:ascii="Tahoma" w:hAnsi="Tahoma" w:cs="Tahoma"/>
        </w:rPr>
        <w:t>7</w:t>
      </w:r>
      <w:r w:rsidR="008E1C61" w:rsidRPr="009649A7">
        <w:rPr>
          <w:rFonts w:ascii="Tahoma" w:hAnsi="Tahoma" w:cs="Tahoma"/>
        </w:rPr>
        <w:t xml:space="preserve"> bourses d’Ex</w:t>
      </w:r>
      <w:r w:rsidR="00A33D01">
        <w:rPr>
          <w:rFonts w:ascii="Tahoma" w:hAnsi="Tahoma" w:cs="Tahoma"/>
        </w:rPr>
        <w:t>cellence académique afin de souligner l</w:t>
      </w:r>
      <w:r w:rsidR="008E1C61" w:rsidRPr="009649A7">
        <w:rPr>
          <w:rFonts w:ascii="Tahoma" w:hAnsi="Tahoma" w:cs="Tahoma"/>
        </w:rPr>
        <w:t>es résultats scolaires remarquables</w:t>
      </w:r>
      <w:r w:rsidR="00A33D01" w:rsidRPr="00897AD2">
        <w:rPr>
          <w:rFonts w:ascii="Tahoma" w:hAnsi="Tahoma" w:cs="Tahoma"/>
        </w:rPr>
        <w:t xml:space="preserve">, </w:t>
      </w:r>
      <w:r w:rsidRPr="00897AD2">
        <w:rPr>
          <w:rFonts w:ascii="Tahoma" w:hAnsi="Tahoma" w:cs="Tahoma"/>
        </w:rPr>
        <w:t>2</w:t>
      </w:r>
      <w:r w:rsidR="00337D7E">
        <w:rPr>
          <w:rFonts w:ascii="Tahoma" w:hAnsi="Tahoma" w:cs="Tahoma"/>
        </w:rPr>
        <w:t>2</w:t>
      </w:r>
      <w:r w:rsidR="008E1C61" w:rsidRPr="009649A7">
        <w:rPr>
          <w:rFonts w:ascii="Tahoma" w:hAnsi="Tahoma" w:cs="Tahoma"/>
        </w:rPr>
        <w:t xml:space="preserve"> bourses de Soutien à la réussite académique et sportive pour encourager la conciliation du sport et des études</w:t>
      </w:r>
      <w:r>
        <w:rPr>
          <w:rFonts w:ascii="Tahoma" w:hAnsi="Tahoma" w:cs="Tahoma"/>
        </w:rPr>
        <w:t xml:space="preserve"> et une</w:t>
      </w:r>
      <w:r w:rsidR="00A33D01">
        <w:rPr>
          <w:rFonts w:ascii="Tahoma" w:hAnsi="Tahoma" w:cs="Tahoma"/>
        </w:rPr>
        <w:t xml:space="preserve"> bourse </w:t>
      </w:r>
      <w:r w:rsidR="008E1C61" w:rsidRPr="009649A7">
        <w:rPr>
          <w:rFonts w:ascii="Tahoma" w:hAnsi="Tahoma" w:cs="Tahoma"/>
        </w:rPr>
        <w:t>Leadership pour récompenser l’implication communautaire à la fois importante et inspirante</w:t>
      </w:r>
      <w:r>
        <w:rPr>
          <w:rFonts w:ascii="Tahoma" w:hAnsi="Tahoma" w:cs="Tahoma"/>
        </w:rPr>
        <w:t>.</w:t>
      </w:r>
    </w:p>
    <w:p w:rsidR="007A2672" w:rsidRPr="009649A7" w:rsidRDefault="008E1C61" w:rsidP="00490E05">
      <w:pPr>
        <w:jc w:val="both"/>
        <w:rPr>
          <w:rFonts w:ascii="Tahoma" w:hAnsi="Tahoma" w:cs="Tahoma"/>
        </w:rPr>
      </w:pPr>
      <w:r w:rsidRPr="009649A7">
        <w:rPr>
          <w:rFonts w:ascii="Tahoma" w:hAnsi="Tahoma" w:cs="Tahoma"/>
        </w:rPr>
        <w:t>Le président de la Fondation, M. Claude Chagnon, s’est dit très motivé de voir la Banque Nationale si loyale envers la Fondation depuis tant d’année</w:t>
      </w:r>
      <w:r w:rsidR="00A33D01">
        <w:rPr>
          <w:rFonts w:ascii="Tahoma" w:hAnsi="Tahoma" w:cs="Tahoma"/>
        </w:rPr>
        <w:t>s</w:t>
      </w:r>
      <w:r w:rsidRPr="009649A7">
        <w:rPr>
          <w:rFonts w:ascii="Tahoma" w:hAnsi="Tahoma" w:cs="Tahoma"/>
        </w:rPr>
        <w:t xml:space="preserve">. Selon lui, l’atteinte des objectifs de la FAEQ passe par la fidélité de nos commanditaires de prestige comme </w:t>
      </w:r>
      <w:r w:rsidR="00490E05">
        <w:rPr>
          <w:rFonts w:ascii="Tahoma" w:hAnsi="Tahoma" w:cs="Tahoma"/>
        </w:rPr>
        <w:t xml:space="preserve">la </w:t>
      </w:r>
      <w:r w:rsidRPr="009649A7">
        <w:rPr>
          <w:rFonts w:ascii="Tahoma" w:hAnsi="Tahoma" w:cs="Tahoma"/>
        </w:rPr>
        <w:t xml:space="preserve">Banque Nationale. </w:t>
      </w:r>
    </w:p>
    <w:p w:rsidR="00215E94" w:rsidRPr="009649A7" w:rsidRDefault="00215E94" w:rsidP="00490E05">
      <w:pPr>
        <w:jc w:val="both"/>
        <w:rPr>
          <w:rFonts w:ascii="Tahoma" w:hAnsi="Tahoma" w:cs="Tahoma"/>
        </w:rPr>
      </w:pPr>
      <w:r w:rsidRPr="009649A7">
        <w:rPr>
          <w:rFonts w:ascii="Tahoma" w:hAnsi="Tahoma" w:cs="Tahoma"/>
        </w:rPr>
        <w:t>Plusieurs boursiers du Programme de bourses Banque Nationale s</w:t>
      </w:r>
      <w:r w:rsidR="00490E05">
        <w:rPr>
          <w:rFonts w:ascii="Tahoma" w:hAnsi="Tahoma" w:cs="Tahoma"/>
        </w:rPr>
        <w:t>e sont démarqués au fil des ans</w:t>
      </w:r>
      <w:r w:rsidRPr="009649A7">
        <w:rPr>
          <w:rFonts w:ascii="Tahoma" w:hAnsi="Tahoma" w:cs="Tahoma"/>
        </w:rPr>
        <w:t xml:space="preserve"> dans leur parcours sportif, acadé</w:t>
      </w:r>
      <w:r w:rsidR="007115D3">
        <w:rPr>
          <w:rFonts w:ascii="Tahoma" w:hAnsi="Tahoma" w:cs="Tahoma"/>
        </w:rPr>
        <w:t>mique et</w:t>
      </w:r>
      <w:r w:rsidR="00970AC2" w:rsidRPr="009649A7">
        <w:rPr>
          <w:rFonts w:ascii="Tahoma" w:hAnsi="Tahoma" w:cs="Tahoma"/>
        </w:rPr>
        <w:t xml:space="preserve"> d’après-carrière sportive : </w:t>
      </w:r>
      <w:r w:rsidRPr="009649A7">
        <w:rPr>
          <w:rFonts w:ascii="Tahoma" w:hAnsi="Tahoma" w:cs="Tahoma"/>
        </w:rPr>
        <w:t xml:space="preserve">notons la patineuse de vitesse </w:t>
      </w:r>
      <w:r w:rsidRPr="009649A7">
        <w:rPr>
          <w:rFonts w:ascii="Tahoma" w:hAnsi="Tahoma" w:cs="Tahoma"/>
          <w:b/>
        </w:rPr>
        <w:t>Marianne St-Gelais</w:t>
      </w:r>
      <w:r w:rsidR="00970AC2" w:rsidRPr="009649A7">
        <w:rPr>
          <w:rFonts w:ascii="Tahoma" w:hAnsi="Tahoma" w:cs="Tahoma"/>
        </w:rPr>
        <w:t xml:space="preserve"> triple médaillée</w:t>
      </w:r>
      <w:r w:rsidRPr="009649A7">
        <w:rPr>
          <w:rFonts w:ascii="Tahoma" w:hAnsi="Tahoma" w:cs="Tahoma"/>
        </w:rPr>
        <w:t xml:space="preserve"> olympique, le cycliste </w:t>
      </w:r>
      <w:r w:rsidRPr="009649A7">
        <w:rPr>
          <w:rFonts w:ascii="Tahoma" w:hAnsi="Tahoma" w:cs="Tahoma"/>
          <w:b/>
        </w:rPr>
        <w:t>David Veilleux</w:t>
      </w:r>
      <w:r w:rsidRPr="009649A7">
        <w:rPr>
          <w:rFonts w:ascii="Tahoma" w:hAnsi="Tahoma" w:cs="Tahoma"/>
        </w:rPr>
        <w:t xml:space="preserve"> qui </w:t>
      </w:r>
      <w:r w:rsidR="00A33D01">
        <w:rPr>
          <w:rFonts w:ascii="Tahoma" w:hAnsi="Tahoma" w:cs="Tahoma"/>
        </w:rPr>
        <w:t>est</w:t>
      </w:r>
      <w:r w:rsidRPr="009649A7">
        <w:rPr>
          <w:rFonts w:ascii="Tahoma" w:hAnsi="Tahoma" w:cs="Tahoma"/>
        </w:rPr>
        <w:t xml:space="preserve"> devenu le premier Québécois de l’histoire à compléter un Tour de France, </w:t>
      </w:r>
      <w:r w:rsidR="00970AC2" w:rsidRPr="009649A7">
        <w:rPr>
          <w:rFonts w:ascii="Tahoma" w:hAnsi="Tahoma" w:cs="Tahoma"/>
        </w:rPr>
        <w:t xml:space="preserve">la rameuse </w:t>
      </w:r>
      <w:r w:rsidR="00970AC2" w:rsidRPr="009649A7">
        <w:rPr>
          <w:rFonts w:ascii="Tahoma" w:hAnsi="Tahoma" w:cs="Tahoma"/>
          <w:b/>
        </w:rPr>
        <w:t>Andréanne Morin</w:t>
      </w:r>
      <w:r w:rsidR="00970AC2" w:rsidRPr="009649A7">
        <w:rPr>
          <w:rFonts w:ascii="Tahoma" w:hAnsi="Tahoma" w:cs="Tahoma"/>
        </w:rPr>
        <w:t xml:space="preserve"> vice-championne olympiq</w:t>
      </w:r>
      <w:r w:rsidR="00F653DE">
        <w:rPr>
          <w:rFonts w:ascii="Tahoma" w:hAnsi="Tahoma" w:cs="Tahoma"/>
        </w:rPr>
        <w:t>ue en aviron maintenant avocate et</w:t>
      </w:r>
      <w:r w:rsidR="00970AC2" w:rsidRPr="009649A7">
        <w:rPr>
          <w:rFonts w:ascii="Tahoma" w:hAnsi="Tahoma" w:cs="Tahoma"/>
        </w:rPr>
        <w:t xml:space="preserve"> la patineuse de vitesse </w:t>
      </w:r>
      <w:r w:rsidR="00970AC2" w:rsidRPr="009649A7">
        <w:rPr>
          <w:rFonts w:ascii="Tahoma" w:hAnsi="Tahoma" w:cs="Tahoma"/>
          <w:b/>
        </w:rPr>
        <w:t>Sylvie Daigle</w:t>
      </w:r>
      <w:r w:rsidR="00970AC2" w:rsidRPr="009649A7">
        <w:rPr>
          <w:rFonts w:ascii="Tahoma" w:hAnsi="Tahoma" w:cs="Tahoma"/>
        </w:rPr>
        <w:t xml:space="preserve"> multiple médaillée olymp</w:t>
      </w:r>
      <w:r w:rsidR="00A33D01">
        <w:rPr>
          <w:rFonts w:ascii="Tahoma" w:hAnsi="Tahoma" w:cs="Tahoma"/>
        </w:rPr>
        <w:t xml:space="preserve">ique et maintenant </w:t>
      </w:r>
      <w:proofErr w:type="spellStart"/>
      <w:r w:rsidR="00A33D01">
        <w:rPr>
          <w:rFonts w:ascii="Tahoma" w:hAnsi="Tahoma" w:cs="Tahoma"/>
        </w:rPr>
        <w:t>urgentologue</w:t>
      </w:r>
      <w:proofErr w:type="spellEnd"/>
      <w:r w:rsidR="00A33D01">
        <w:rPr>
          <w:rFonts w:ascii="Tahoma" w:hAnsi="Tahoma" w:cs="Tahoma"/>
        </w:rPr>
        <w:t xml:space="preserve">. </w:t>
      </w:r>
    </w:p>
    <w:p w:rsidR="00897AD2" w:rsidRDefault="00897AD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649A7" w:rsidRPr="007115D3" w:rsidRDefault="009649A7" w:rsidP="009649A7">
      <w:pPr>
        <w:spacing w:after="0"/>
        <w:jc w:val="center"/>
        <w:rPr>
          <w:rFonts w:ascii="Tahoma" w:hAnsi="Tahoma" w:cs="Tahoma"/>
          <w:b/>
        </w:rPr>
      </w:pPr>
      <w:r w:rsidRPr="007115D3">
        <w:rPr>
          <w:rFonts w:ascii="Tahoma" w:hAnsi="Tahoma" w:cs="Tahoma"/>
          <w:b/>
        </w:rPr>
        <w:lastRenderedPageBreak/>
        <w:t>Tableau des récipiendaires du Programme de bourses Banque Nationale 2017</w:t>
      </w:r>
    </w:p>
    <w:p w:rsidR="009649A7" w:rsidRPr="00897AD2" w:rsidRDefault="009649A7" w:rsidP="00215E94">
      <w:pPr>
        <w:spacing w:after="0"/>
        <w:jc w:val="both"/>
        <w:rPr>
          <w:rFonts w:ascii="Tahoma" w:hAnsi="Tahoma" w:cs="Tahoma"/>
        </w:rPr>
      </w:pPr>
    </w:p>
    <w:p w:rsidR="009649A7" w:rsidRDefault="00337D7E" w:rsidP="00215E94">
      <w:pPr>
        <w:spacing w:after="0"/>
        <w:jc w:val="both"/>
        <w:rPr>
          <w:noProof/>
        </w:rPr>
      </w:pPr>
      <w:r w:rsidRPr="00337D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-435568</wp:posOffset>
            </wp:positionH>
            <wp:positionV relativeFrom="paragraph">
              <wp:posOffset>135011</wp:posOffset>
            </wp:positionV>
            <wp:extent cx="7194452" cy="7153850"/>
            <wp:effectExtent l="0" t="0" r="698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452" cy="71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215E94">
      <w:pPr>
        <w:spacing w:after="0"/>
        <w:jc w:val="both"/>
        <w:rPr>
          <w:noProof/>
        </w:rPr>
      </w:pPr>
    </w:p>
    <w:p w:rsidR="00B11380" w:rsidRDefault="00B11380" w:rsidP="00611649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215E94" w:rsidRPr="00490E05" w:rsidRDefault="00215E94" w:rsidP="006116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90E05">
        <w:rPr>
          <w:rFonts w:ascii="Tahoma" w:hAnsi="Tahoma" w:cs="Tahoma"/>
          <w:b/>
          <w:sz w:val="20"/>
          <w:szCs w:val="20"/>
        </w:rPr>
        <w:lastRenderedPageBreak/>
        <w:t>À propos de la Banque Nationale du Canada</w:t>
      </w:r>
    </w:p>
    <w:p w:rsidR="00394915" w:rsidRPr="00897AD2" w:rsidRDefault="00394915" w:rsidP="0039491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bidi="fr-CA"/>
        </w:rPr>
      </w:pPr>
      <w:r w:rsidRPr="00897AD2">
        <w:rPr>
          <w:rFonts w:ascii="Tahoma" w:hAnsi="Tahoma" w:cs="Tahoma"/>
          <w:sz w:val="20"/>
          <w:szCs w:val="20"/>
          <w:lang w:bidi="fr-CA"/>
        </w:rPr>
        <w:t xml:space="preserve">Forte d’un actif de 234 milliards de dollars au 31 janvier 2017, la </w:t>
      </w:r>
      <w:hyperlink r:id="rId8">
        <w:r w:rsidRPr="00897AD2">
          <w:rPr>
            <w:rStyle w:val="Lienhypertexte"/>
            <w:rFonts w:ascii="Tahoma" w:hAnsi="Tahoma" w:cs="Tahoma"/>
            <w:sz w:val="20"/>
            <w:szCs w:val="20"/>
            <w:lang w:bidi="fr-CA"/>
          </w:rPr>
          <w:t>Banque Nationale du Canada</w:t>
        </w:r>
      </w:hyperlink>
      <w:r w:rsidRPr="00897AD2">
        <w:rPr>
          <w:rFonts w:ascii="Tahoma" w:hAnsi="Tahoma" w:cs="Tahoma"/>
          <w:sz w:val="20"/>
          <w:szCs w:val="20"/>
          <w:lang w:bidi="fr-CA"/>
        </w:rPr>
        <w:t xml:space="preserve">, avec ses filiales, forme l’un des plus importants groupes financiers intégrés canadiens. Elle emploie plus de 21 000 personnes et est un employeur de choix reconnu. Ses titres sont cotés à la Bourse de Toronto (TSX : NA). Suivez ses activités par l’entremise des réseaux sociaux </w:t>
      </w:r>
      <w:hyperlink r:id="rId9">
        <w:r w:rsidRPr="00897AD2">
          <w:rPr>
            <w:rStyle w:val="Lienhypertexte"/>
            <w:rFonts w:ascii="Tahoma" w:hAnsi="Tahoma" w:cs="Tahoma"/>
            <w:sz w:val="20"/>
            <w:szCs w:val="20"/>
            <w:lang w:bidi="fr-CA"/>
          </w:rPr>
          <w:t>Facebook</w:t>
        </w:r>
      </w:hyperlink>
      <w:r w:rsidRPr="00897AD2">
        <w:rPr>
          <w:rFonts w:ascii="Tahoma" w:hAnsi="Tahoma" w:cs="Tahoma"/>
          <w:sz w:val="20"/>
          <w:szCs w:val="20"/>
          <w:lang w:bidi="fr-CA"/>
        </w:rPr>
        <w:t xml:space="preserve">, </w:t>
      </w:r>
      <w:hyperlink r:id="rId10">
        <w:r w:rsidRPr="00897AD2">
          <w:rPr>
            <w:rStyle w:val="Lienhypertexte"/>
            <w:rFonts w:ascii="Tahoma" w:hAnsi="Tahoma" w:cs="Tahoma"/>
            <w:sz w:val="20"/>
            <w:szCs w:val="20"/>
            <w:lang w:bidi="fr-CA"/>
          </w:rPr>
          <w:t>LinkedIn</w:t>
        </w:r>
      </w:hyperlink>
      <w:r w:rsidRPr="00897AD2">
        <w:rPr>
          <w:rFonts w:ascii="Tahoma" w:hAnsi="Tahoma" w:cs="Tahoma"/>
          <w:sz w:val="20"/>
          <w:szCs w:val="20"/>
          <w:lang w:bidi="fr-CA"/>
        </w:rPr>
        <w:t xml:space="preserve"> et </w:t>
      </w:r>
      <w:hyperlink r:id="rId11">
        <w:r w:rsidRPr="00897AD2">
          <w:rPr>
            <w:rStyle w:val="Lienhypertexte"/>
            <w:rFonts w:ascii="Tahoma" w:hAnsi="Tahoma" w:cs="Tahoma"/>
            <w:sz w:val="20"/>
            <w:szCs w:val="20"/>
            <w:lang w:bidi="fr-CA"/>
          </w:rPr>
          <w:t>Twitter</w:t>
        </w:r>
      </w:hyperlink>
      <w:r w:rsidRPr="00897AD2">
        <w:rPr>
          <w:rFonts w:ascii="Tahoma" w:hAnsi="Tahoma" w:cs="Tahoma"/>
          <w:sz w:val="20"/>
          <w:szCs w:val="20"/>
          <w:lang w:bidi="fr-CA"/>
        </w:rPr>
        <w:t xml:space="preserve"> ou visitez </w:t>
      </w:r>
      <w:hyperlink r:id="rId12">
        <w:r w:rsidRPr="00897AD2">
          <w:rPr>
            <w:rStyle w:val="Lienhypertexte"/>
            <w:rFonts w:ascii="Tahoma" w:hAnsi="Tahoma" w:cs="Tahoma"/>
            <w:sz w:val="20"/>
            <w:szCs w:val="20"/>
            <w:lang w:bidi="fr-CA"/>
          </w:rPr>
          <w:t>bnc.ca</w:t>
        </w:r>
      </w:hyperlink>
      <w:r w:rsidRPr="00897AD2">
        <w:rPr>
          <w:rFonts w:ascii="Tahoma" w:hAnsi="Tahoma" w:cs="Tahoma"/>
          <w:sz w:val="20"/>
          <w:szCs w:val="20"/>
          <w:lang w:bidi="fr-CA"/>
        </w:rPr>
        <w:t>. </w:t>
      </w:r>
    </w:p>
    <w:p w:rsidR="00611649" w:rsidRDefault="00611649" w:rsidP="00611649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215E94" w:rsidRPr="00490E05" w:rsidRDefault="00215E94" w:rsidP="0061164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90E05">
        <w:rPr>
          <w:rFonts w:ascii="Tahoma" w:hAnsi="Tahoma" w:cs="Tahoma"/>
          <w:b/>
          <w:sz w:val="20"/>
          <w:szCs w:val="20"/>
        </w:rPr>
        <w:t>À propos de la Fondation de l’athlète d’excellence</w:t>
      </w:r>
      <w:r w:rsidR="00611649" w:rsidRPr="00490E05">
        <w:rPr>
          <w:rFonts w:ascii="Tahoma" w:hAnsi="Tahoma" w:cs="Tahoma"/>
          <w:b/>
          <w:sz w:val="20"/>
          <w:szCs w:val="20"/>
        </w:rPr>
        <w:t xml:space="preserve"> (FAEQ)</w:t>
      </w:r>
    </w:p>
    <w:p w:rsidR="00897AD2" w:rsidRPr="00897AD2" w:rsidRDefault="00215E94" w:rsidP="00611649">
      <w:pPr>
        <w:keepNext/>
        <w:spacing w:after="0" w:line="240" w:lineRule="auto"/>
        <w:ind w:right="18"/>
        <w:jc w:val="both"/>
        <w:rPr>
          <w:rFonts w:ascii="Tahoma" w:hAnsi="Tahoma" w:cs="Tahoma"/>
          <w:b/>
          <w:sz w:val="20"/>
          <w:szCs w:val="20"/>
        </w:rPr>
      </w:pPr>
      <w:r w:rsidRPr="009649A7">
        <w:rPr>
          <w:rFonts w:ascii="Tahoma" w:hAnsi="Tahoma" w:cs="Tahoma"/>
          <w:sz w:val="20"/>
          <w:szCs w:val="20"/>
        </w:rPr>
        <w:t>La F</w:t>
      </w:r>
      <w:r w:rsidR="00611649">
        <w:rPr>
          <w:rFonts w:ascii="Tahoma" w:hAnsi="Tahoma" w:cs="Tahoma"/>
          <w:sz w:val="20"/>
          <w:szCs w:val="20"/>
        </w:rPr>
        <w:t>AEQ</w:t>
      </w:r>
      <w:r w:rsidRPr="009649A7">
        <w:rPr>
          <w:rFonts w:ascii="Tahoma" w:hAnsi="Tahoma" w:cs="Tahoma"/>
          <w:sz w:val="20"/>
          <w:szCs w:val="20"/>
        </w:rPr>
        <w:t> </w:t>
      </w:r>
      <w:r w:rsidR="00897AD2">
        <w:rPr>
          <w:rFonts w:ascii="Tahoma" w:hAnsi="Tahoma" w:cs="Tahoma"/>
          <w:sz w:val="20"/>
          <w:szCs w:val="20"/>
        </w:rPr>
        <w:t>(</w:t>
      </w:r>
      <w:hyperlink r:id="rId13" w:history="1">
        <w:r w:rsidR="00897AD2" w:rsidRPr="00F85BF8">
          <w:rPr>
            <w:rStyle w:val="Lienhypertexte"/>
            <w:rFonts w:ascii="Tahoma" w:hAnsi="Tahoma" w:cs="Tahoma"/>
            <w:sz w:val="20"/>
            <w:szCs w:val="20"/>
          </w:rPr>
          <w:t>www.faeq.com</w:t>
        </w:r>
      </w:hyperlink>
      <w:r w:rsidR="00897AD2">
        <w:rPr>
          <w:rStyle w:val="Lienhypertexte"/>
          <w:rFonts w:ascii="Tahoma" w:hAnsi="Tahoma" w:cs="Tahoma"/>
          <w:sz w:val="20"/>
          <w:szCs w:val="20"/>
        </w:rPr>
        <w:t xml:space="preserve">) </w:t>
      </w:r>
      <w:r w:rsidRPr="009649A7">
        <w:rPr>
          <w:rFonts w:ascii="Tahoma" w:hAnsi="Tahoma" w:cs="Tahoma"/>
          <w:sz w:val="20"/>
          <w:szCs w:val="20"/>
        </w:rPr>
        <w:t xml:space="preserve">se démarque par son approche personnalisée, sa rigueur de gestion et son rôle d’influence auprès du milieu du sport et de l’éducation. En 2017, elle octroiera 1 350 000 $ à 475 étudiants-athlètes, en plus de leur offrir des services </w:t>
      </w:r>
      <w:r w:rsidR="006270B3">
        <w:rPr>
          <w:rFonts w:ascii="Tahoma" w:hAnsi="Tahoma" w:cs="Tahoma"/>
          <w:sz w:val="20"/>
          <w:szCs w:val="20"/>
        </w:rPr>
        <w:t xml:space="preserve">d’accompagnement en termes </w:t>
      </w:r>
      <w:r w:rsidR="006270B3" w:rsidRPr="009649A7">
        <w:rPr>
          <w:rFonts w:ascii="Tahoma" w:hAnsi="Tahoma" w:cs="Tahoma"/>
          <w:sz w:val="20"/>
          <w:szCs w:val="20"/>
        </w:rPr>
        <w:t>d’orientation scolaire</w:t>
      </w:r>
      <w:r w:rsidR="006270B3">
        <w:rPr>
          <w:rFonts w:ascii="Tahoma" w:hAnsi="Tahoma" w:cs="Tahoma"/>
          <w:sz w:val="20"/>
          <w:szCs w:val="20"/>
        </w:rPr>
        <w:t xml:space="preserve"> et de conciliation du sport et des études. </w:t>
      </w:r>
      <w:r w:rsidRPr="009649A7">
        <w:rPr>
          <w:rFonts w:ascii="Tahoma" w:hAnsi="Tahoma" w:cs="Tahoma"/>
          <w:sz w:val="20"/>
          <w:szCs w:val="20"/>
        </w:rPr>
        <w:t>La FAEQ</w:t>
      </w:r>
      <w:r w:rsidR="006270B3">
        <w:rPr>
          <w:rFonts w:ascii="Tahoma" w:hAnsi="Tahoma" w:cs="Tahoma"/>
          <w:sz w:val="20"/>
          <w:szCs w:val="20"/>
        </w:rPr>
        <w:t xml:space="preserve">, </w:t>
      </w:r>
      <w:r w:rsidR="00611649">
        <w:rPr>
          <w:rFonts w:ascii="Tahoma" w:hAnsi="Tahoma" w:cs="Tahoma"/>
          <w:sz w:val="20"/>
          <w:szCs w:val="20"/>
        </w:rPr>
        <w:t xml:space="preserve">ses partenaires et ses anciens boursiers sont tous </w:t>
      </w:r>
      <w:r w:rsidRPr="009649A7">
        <w:rPr>
          <w:rFonts w:ascii="Tahoma" w:hAnsi="Tahoma" w:cs="Tahoma"/>
          <w:sz w:val="20"/>
          <w:szCs w:val="20"/>
        </w:rPr>
        <w:t>uni</w:t>
      </w:r>
      <w:r w:rsidR="00611649">
        <w:rPr>
          <w:rFonts w:ascii="Tahoma" w:hAnsi="Tahoma" w:cs="Tahoma"/>
          <w:sz w:val="20"/>
          <w:szCs w:val="20"/>
        </w:rPr>
        <w:t xml:space="preserve">s </w:t>
      </w:r>
      <w:r w:rsidRPr="009649A7">
        <w:rPr>
          <w:rFonts w:ascii="Tahoma" w:hAnsi="Tahoma" w:cs="Tahoma"/>
          <w:sz w:val="20"/>
          <w:szCs w:val="20"/>
        </w:rPr>
        <w:t>pour la réussite académique, sportive et professionnelle de ses boursiers.</w:t>
      </w:r>
      <w:r w:rsidR="00897AD2">
        <w:rPr>
          <w:rFonts w:ascii="Tahoma" w:hAnsi="Tahoma" w:cs="Tahoma"/>
          <w:sz w:val="20"/>
          <w:szCs w:val="20"/>
        </w:rPr>
        <w:t xml:space="preserve"> </w:t>
      </w:r>
      <w:r w:rsidR="00897AD2" w:rsidRPr="00897AD2">
        <w:rPr>
          <w:rFonts w:ascii="Tahoma" w:hAnsi="Tahoma" w:cs="Tahoma"/>
          <w:b/>
          <w:sz w:val="20"/>
          <w:szCs w:val="20"/>
        </w:rPr>
        <w:t>À noter que les 22-23-24 septembre prochain à Mont-Tremblant</w:t>
      </w:r>
      <w:r w:rsidR="00897AD2">
        <w:rPr>
          <w:rFonts w:ascii="Tahoma" w:hAnsi="Tahoma" w:cs="Tahoma"/>
          <w:b/>
          <w:sz w:val="20"/>
          <w:szCs w:val="20"/>
        </w:rPr>
        <w:t xml:space="preserve"> se tiendra</w:t>
      </w:r>
      <w:r w:rsidR="00897AD2" w:rsidRPr="00897AD2">
        <w:rPr>
          <w:rFonts w:ascii="Tahoma" w:hAnsi="Tahoma" w:cs="Tahoma"/>
          <w:b/>
          <w:sz w:val="20"/>
          <w:szCs w:val="20"/>
        </w:rPr>
        <w:t xml:space="preserve"> le Défi 808 Bonneville</w:t>
      </w:r>
      <w:r w:rsidR="00897AD2">
        <w:rPr>
          <w:rFonts w:ascii="Tahoma" w:hAnsi="Tahoma" w:cs="Tahoma"/>
          <w:b/>
          <w:sz w:val="20"/>
          <w:szCs w:val="20"/>
        </w:rPr>
        <w:t>, événement cycliste d’envergure,</w:t>
      </w:r>
      <w:r w:rsidR="00897AD2" w:rsidRPr="00897AD2">
        <w:rPr>
          <w:rFonts w:ascii="Tahoma" w:hAnsi="Tahoma" w:cs="Tahoma"/>
          <w:b/>
          <w:sz w:val="20"/>
          <w:szCs w:val="20"/>
        </w:rPr>
        <w:t xml:space="preserve"> au profit de la FAEQ. Les inscriptions sont </w:t>
      </w:r>
      <w:r w:rsidR="00897AD2">
        <w:rPr>
          <w:rFonts w:ascii="Tahoma" w:hAnsi="Tahoma" w:cs="Tahoma"/>
          <w:b/>
          <w:sz w:val="20"/>
          <w:szCs w:val="20"/>
        </w:rPr>
        <w:t xml:space="preserve">maintenant </w:t>
      </w:r>
      <w:r w:rsidR="00897AD2" w:rsidRPr="00897AD2">
        <w:rPr>
          <w:rFonts w:ascii="Tahoma" w:hAnsi="Tahoma" w:cs="Tahoma"/>
          <w:b/>
          <w:sz w:val="20"/>
          <w:szCs w:val="20"/>
        </w:rPr>
        <w:t xml:space="preserve">ouvertes au </w:t>
      </w:r>
      <w:hyperlink r:id="rId14" w:history="1">
        <w:r w:rsidR="00897AD2" w:rsidRPr="00897AD2">
          <w:rPr>
            <w:rStyle w:val="Lienhypertexte"/>
            <w:rFonts w:ascii="Tahoma" w:hAnsi="Tahoma" w:cs="Tahoma"/>
            <w:b/>
            <w:sz w:val="20"/>
            <w:szCs w:val="20"/>
          </w:rPr>
          <w:t>www.defi808bonneville.com</w:t>
        </w:r>
      </w:hyperlink>
      <w:r w:rsidR="00897AD2">
        <w:rPr>
          <w:rFonts w:ascii="Tahoma" w:hAnsi="Tahoma" w:cs="Tahoma"/>
          <w:b/>
          <w:sz w:val="20"/>
          <w:szCs w:val="20"/>
        </w:rPr>
        <w:t>.</w:t>
      </w:r>
    </w:p>
    <w:p w:rsidR="00215E94" w:rsidRDefault="00897AD2" w:rsidP="00611649">
      <w:pPr>
        <w:keepNext/>
        <w:spacing w:after="0" w:line="240" w:lineRule="auto"/>
        <w:ind w:right="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215E94" w:rsidRPr="009649A7">
        <w:rPr>
          <w:rFonts w:ascii="Tahoma" w:hAnsi="Tahoma" w:cs="Tahoma"/>
          <w:sz w:val="20"/>
          <w:szCs w:val="20"/>
        </w:rPr>
        <w:t xml:space="preserve"> </w:t>
      </w:r>
    </w:p>
    <w:p w:rsidR="00215E94" w:rsidRPr="009649A7" w:rsidRDefault="00215E94" w:rsidP="0061164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649A7">
        <w:rPr>
          <w:rFonts w:ascii="Tahoma" w:hAnsi="Tahoma" w:cs="Tahoma"/>
          <w:sz w:val="20"/>
          <w:szCs w:val="20"/>
        </w:rPr>
        <w:t>Personnes-ressources :</w:t>
      </w:r>
    </w:p>
    <w:p w:rsidR="00611649" w:rsidRDefault="00611649" w:rsidP="006116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5E94" w:rsidRPr="009649A7" w:rsidRDefault="009649A7" w:rsidP="0061164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Annie Pelletier</w:t>
      </w:r>
      <w:r w:rsidR="00215E94" w:rsidRPr="009649A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Directrice des communications</w:t>
      </w:r>
      <w:r w:rsidR="00215E94" w:rsidRPr="009649A7">
        <w:rPr>
          <w:rFonts w:ascii="Tahoma" w:hAnsi="Tahoma" w:cs="Tahoma"/>
          <w:sz w:val="20"/>
          <w:szCs w:val="20"/>
        </w:rPr>
        <w:t xml:space="preserve"> </w:t>
      </w:r>
      <w:r w:rsidR="00215E94" w:rsidRPr="009649A7">
        <w:rPr>
          <w:rFonts w:ascii="Tahoma" w:hAnsi="Tahoma" w:cs="Tahoma"/>
          <w:sz w:val="20"/>
          <w:szCs w:val="20"/>
        </w:rPr>
        <w:br/>
        <w:t xml:space="preserve">Fondation de l’athlète d’excellence </w:t>
      </w:r>
      <w:r w:rsidR="00503E65">
        <w:rPr>
          <w:rFonts w:ascii="Tahoma" w:hAnsi="Tahoma" w:cs="Tahoma"/>
          <w:sz w:val="20"/>
          <w:szCs w:val="20"/>
        </w:rPr>
        <w:t>du Québec</w:t>
      </w:r>
      <w:r w:rsidR="00215E94" w:rsidRPr="009649A7">
        <w:rPr>
          <w:rFonts w:ascii="Tahoma" w:hAnsi="Tahoma" w:cs="Tahoma"/>
          <w:sz w:val="20"/>
          <w:szCs w:val="20"/>
        </w:rPr>
        <w:br/>
      </w:r>
      <w:hyperlink r:id="rId15" w:history="1">
        <w:r w:rsidR="00611649" w:rsidRPr="00F85BF8">
          <w:rPr>
            <w:rStyle w:val="Lienhypertexte"/>
            <w:rFonts w:ascii="Tahoma" w:hAnsi="Tahoma" w:cs="Tahoma"/>
            <w:sz w:val="20"/>
            <w:szCs w:val="20"/>
          </w:rPr>
          <w:t>annie.pelletier@faeq.com</w:t>
        </w:r>
      </w:hyperlink>
      <w:r w:rsidR="00215E94" w:rsidRPr="009649A7">
        <w:rPr>
          <w:rFonts w:ascii="Tahoma" w:hAnsi="Tahoma" w:cs="Tahoma"/>
          <w:sz w:val="20"/>
          <w:szCs w:val="20"/>
        </w:rPr>
        <w:br/>
        <w:t>(514) 252-3171 poste 3</w:t>
      </w:r>
      <w:r w:rsidR="00611649">
        <w:rPr>
          <w:rFonts w:ascii="Tahoma" w:hAnsi="Tahoma" w:cs="Tahoma"/>
          <w:sz w:val="20"/>
          <w:szCs w:val="20"/>
        </w:rPr>
        <w:t>538</w:t>
      </w:r>
    </w:p>
    <w:p w:rsidR="00611649" w:rsidRDefault="00611649" w:rsidP="00611649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215E94" w:rsidRPr="009649A7" w:rsidRDefault="00394915" w:rsidP="006116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97AD2">
        <w:rPr>
          <w:rFonts w:ascii="Tahoma" w:hAnsi="Tahoma" w:cs="Tahoma"/>
          <w:sz w:val="20"/>
          <w:szCs w:val="20"/>
        </w:rPr>
        <w:t>Jean-François Lauzon</w:t>
      </w:r>
      <w:r w:rsidRPr="00897AD2">
        <w:rPr>
          <w:rFonts w:ascii="Tahoma" w:hAnsi="Tahoma" w:cs="Tahoma"/>
          <w:sz w:val="20"/>
          <w:szCs w:val="20"/>
        </w:rPr>
        <w:br/>
        <w:t>Conseiller</w:t>
      </w:r>
      <w:r w:rsidR="00215E94" w:rsidRPr="00897AD2">
        <w:rPr>
          <w:rFonts w:ascii="Tahoma" w:hAnsi="Tahoma" w:cs="Tahoma"/>
          <w:sz w:val="20"/>
          <w:szCs w:val="20"/>
        </w:rPr>
        <w:t>, Affaires pu</w:t>
      </w:r>
      <w:r w:rsidR="006270B3" w:rsidRPr="00897AD2">
        <w:rPr>
          <w:rFonts w:ascii="Tahoma" w:hAnsi="Tahoma" w:cs="Tahoma"/>
          <w:sz w:val="20"/>
          <w:szCs w:val="20"/>
        </w:rPr>
        <w:t>bliques</w:t>
      </w:r>
      <w:r w:rsidR="006270B3" w:rsidRPr="00897AD2">
        <w:rPr>
          <w:rFonts w:ascii="Tahoma" w:hAnsi="Tahoma" w:cs="Tahoma"/>
          <w:sz w:val="20"/>
          <w:szCs w:val="20"/>
        </w:rPr>
        <w:br/>
        <w:t>Banque Nationale</w:t>
      </w:r>
      <w:r w:rsidR="006270B3" w:rsidRPr="00897AD2">
        <w:rPr>
          <w:rFonts w:ascii="Tahoma" w:hAnsi="Tahoma" w:cs="Tahoma"/>
          <w:sz w:val="20"/>
          <w:szCs w:val="20"/>
        </w:rPr>
        <w:br/>
        <w:t>(</w:t>
      </w:r>
      <w:r w:rsidR="00215E94" w:rsidRPr="00897AD2">
        <w:rPr>
          <w:rFonts w:ascii="Tahoma" w:hAnsi="Tahoma" w:cs="Tahoma"/>
          <w:sz w:val="20"/>
          <w:szCs w:val="20"/>
        </w:rPr>
        <w:t>514</w:t>
      </w:r>
      <w:r w:rsidR="006270B3" w:rsidRPr="00897AD2">
        <w:rPr>
          <w:rFonts w:ascii="Tahoma" w:hAnsi="Tahoma" w:cs="Tahoma"/>
          <w:sz w:val="20"/>
          <w:szCs w:val="20"/>
        </w:rPr>
        <w:t>)</w:t>
      </w:r>
      <w:r w:rsidRPr="00897AD2">
        <w:rPr>
          <w:rFonts w:ascii="Tahoma" w:hAnsi="Tahoma" w:cs="Tahoma"/>
          <w:sz w:val="20"/>
          <w:szCs w:val="20"/>
        </w:rPr>
        <w:t> 394-6097</w:t>
      </w:r>
    </w:p>
    <w:p w:rsidR="00215E94" w:rsidRPr="009649A7" w:rsidRDefault="00215E94" w:rsidP="001920B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215E94" w:rsidRPr="009649A7" w:rsidSect="00E46DC3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36"/>
    <w:rsid w:val="000318DB"/>
    <w:rsid w:val="0004323E"/>
    <w:rsid w:val="00056D93"/>
    <w:rsid w:val="00080C58"/>
    <w:rsid w:val="0009112D"/>
    <w:rsid w:val="000A2A88"/>
    <w:rsid w:val="000B3103"/>
    <w:rsid w:val="000C2499"/>
    <w:rsid w:val="00100657"/>
    <w:rsid w:val="00120C22"/>
    <w:rsid w:val="001450B1"/>
    <w:rsid w:val="00146926"/>
    <w:rsid w:val="00174637"/>
    <w:rsid w:val="001920B5"/>
    <w:rsid w:val="001A1627"/>
    <w:rsid w:val="001A26A2"/>
    <w:rsid w:val="001B0A7D"/>
    <w:rsid w:val="001B4E3E"/>
    <w:rsid w:val="001C5F50"/>
    <w:rsid w:val="00215E94"/>
    <w:rsid w:val="00223D13"/>
    <w:rsid w:val="00226128"/>
    <w:rsid w:val="00247D4F"/>
    <w:rsid w:val="0025441F"/>
    <w:rsid w:val="00265015"/>
    <w:rsid w:val="0027263F"/>
    <w:rsid w:val="00280939"/>
    <w:rsid w:val="002B0176"/>
    <w:rsid w:val="002B4A45"/>
    <w:rsid w:val="002B4E7B"/>
    <w:rsid w:val="002C38F1"/>
    <w:rsid w:val="002F5859"/>
    <w:rsid w:val="002F72D2"/>
    <w:rsid w:val="003123A3"/>
    <w:rsid w:val="00337D7E"/>
    <w:rsid w:val="003505BD"/>
    <w:rsid w:val="00394915"/>
    <w:rsid w:val="003B3DDB"/>
    <w:rsid w:val="003D00D0"/>
    <w:rsid w:val="003D1175"/>
    <w:rsid w:val="003E3727"/>
    <w:rsid w:val="003F7E67"/>
    <w:rsid w:val="00400BF7"/>
    <w:rsid w:val="004020B9"/>
    <w:rsid w:val="004036CA"/>
    <w:rsid w:val="0044062F"/>
    <w:rsid w:val="00441410"/>
    <w:rsid w:val="004430B6"/>
    <w:rsid w:val="00452024"/>
    <w:rsid w:val="00465030"/>
    <w:rsid w:val="00490E05"/>
    <w:rsid w:val="004C6C58"/>
    <w:rsid w:val="004E10B8"/>
    <w:rsid w:val="004F71CA"/>
    <w:rsid w:val="00503E65"/>
    <w:rsid w:val="00565201"/>
    <w:rsid w:val="005937DF"/>
    <w:rsid w:val="005A3A5A"/>
    <w:rsid w:val="005B7179"/>
    <w:rsid w:val="005C61AC"/>
    <w:rsid w:val="005D7A35"/>
    <w:rsid w:val="00601416"/>
    <w:rsid w:val="00610F16"/>
    <w:rsid w:val="00611649"/>
    <w:rsid w:val="00616ECA"/>
    <w:rsid w:val="006270B3"/>
    <w:rsid w:val="00651C24"/>
    <w:rsid w:val="006564DC"/>
    <w:rsid w:val="00657BE8"/>
    <w:rsid w:val="00674717"/>
    <w:rsid w:val="00674ED9"/>
    <w:rsid w:val="0068670D"/>
    <w:rsid w:val="006B177E"/>
    <w:rsid w:val="006C0AA1"/>
    <w:rsid w:val="006E5E38"/>
    <w:rsid w:val="007115D3"/>
    <w:rsid w:val="007145AA"/>
    <w:rsid w:val="00734512"/>
    <w:rsid w:val="00756485"/>
    <w:rsid w:val="0077009B"/>
    <w:rsid w:val="00796857"/>
    <w:rsid w:val="007A0098"/>
    <w:rsid w:val="007A1B69"/>
    <w:rsid w:val="007A1E61"/>
    <w:rsid w:val="007A2672"/>
    <w:rsid w:val="007B1000"/>
    <w:rsid w:val="007D1F2B"/>
    <w:rsid w:val="00822C94"/>
    <w:rsid w:val="00824B3B"/>
    <w:rsid w:val="00843D1C"/>
    <w:rsid w:val="00860F19"/>
    <w:rsid w:val="008630C3"/>
    <w:rsid w:val="00874090"/>
    <w:rsid w:val="00897AD2"/>
    <w:rsid w:val="008B56FC"/>
    <w:rsid w:val="008C056E"/>
    <w:rsid w:val="008E1C61"/>
    <w:rsid w:val="008E6006"/>
    <w:rsid w:val="008E64EA"/>
    <w:rsid w:val="008F69E3"/>
    <w:rsid w:val="008F7FA1"/>
    <w:rsid w:val="009059B2"/>
    <w:rsid w:val="0091068D"/>
    <w:rsid w:val="0091146F"/>
    <w:rsid w:val="00927836"/>
    <w:rsid w:val="0093506C"/>
    <w:rsid w:val="00947C1A"/>
    <w:rsid w:val="00955AC9"/>
    <w:rsid w:val="009649A7"/>
    <w:rsid w:val="00970AC2"/>
    <w:rsid w:val="0098194F"/>
    <w:rsid w:val="009B4EE8"/>
    <w:rsid w:val="009C658B"/>
    <w:rsid w:val="009E5B4E"/>
    <w:rsid w:val="009F4733"/>
    <w:rsid w:val="00A24F7B"/>
    <w:rsid w:val="00A33D01"/>
    <w:rsid w:val="00A35168"/>
    <w:rsid w:val="00A52821"/>
    <w:rsid w:val="00A60FEC"/>
    <w:rsid w:val="00AA279C"/>
    <w:rsid w:val="00AD4241"/>
    <w:rsid w:val="00AD6267"/>
    <w:rsid w:val="00B11380"/>
    <w:rsid w:val="00B16CEB"/>
    <w:rsid w:val="00B37470"/>
    <w:rsid w:val="00B6583F"/>
    <w:rsid w:val="00B818D7"/>
    <w:rsid w:val="00B97DEF"/>
    <w:rsid w:val="00BB2588"/>
    <w:rsid w:val="00BC2CFD"/>
    <w:rsid w:val="00BE65B7"/>
    <w:rsid w:val="00BF1BFC"/>
    <w:rsid w:val="00BF5CFF"/>
    <w:rsid w:val="00C007B2"/>
    <w:rsid w:val="00C33BC8"/>
    <w:rsid w:val="00C65463"/>
    <w:rsid w:val="00C976FF"/>
    <w:rsid w:val="00CC4FC8"/>
    <w:rsid w:val="00D536D3"/>
    <w:rsid w:val="00DC10D8"/>
    <w:rsid w:val="00DD40AB"/>
    <w:rsid w:val="00DE5B67"/>
    <w:rsid w:val="00DF4BA0"/>
    <w:rsid w:val="00E021C2"/>
    <w:rsid w:val="00E170C6"/>
    <w:rsid w:val="00E225F2"/>
    <w:rsid w:val="00E46DC3"/>
    <w:rsid w:val="00E91DCC"/>
    <w:rsid w:val="00EA7567"/>
    <w:rsid w:val="00ED6E16"/>
    <w:rsid w:val="00EF4030"/>
    <w:rsid w:val="00F007E7"/>
    <w:rsid w:val="00F2744D"/>
    <w:rsid w:val="00F41152"/>
    <w:rsid w:val="00F47B6B"/>
    <w:rsid w:val="00F653DE"/>
    <w:rsid w:val="00F77A6D"/>
    <w:rsid w:val="00F93DDD"/>
    <w:rsid w:val="00FB4528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ABD5-8595-4542-A9BC-BA45A0C6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836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E46DC3"/>
    <w:pPr>
      <w:spacing w:before="120" w:after="0" w:line="240" w:lineRule="auto"/>
      <w:ind w:left="1800"/>
      <w:jc w:val="both"/>
    </w:pPr>
    <w:rPr>
      <w:rFonts w:ascii="Times New Roman" w:eastAsia="Times New Roman" w:hAnsi="Times New Roman" w:cs="Times New Roman"/>
      <w:sz w:val="16"/>
      <w:szCs w:val="16"/>
      <w:lang w:val="en-CA"/>
    </w:rPr>
  </w:style>
  <w:style w:type="character" w:customStyle="1" w:styleId="Retraitcorpsdetexte3Car">
    <w:name w:val="Retrait corps de texte 3 Car"/>
    <w:basedOn w:val="Policepardfaut"/>
    <w:link w:val="Retraitcorpsdetexte3"/>
    <w:rsid w:val="00E46DC3"/>
    <w:rPr>
      <w:rFonts w:ascii="Times New Roman" w:eastAsia="Times New Roman" w:hAnsi="Times New Roman" w:cs="Times New Roman"/>
      <w:sz w:val="16"/>
      <w:szCs w:val="16"/>
      <w:lang w:val="en-CA"/>
    </w:rPr>
  </w:style>
  <w:style w:type="character" w:styleId="lev">
    <w:name w:val="Strong"/>
    <w:qFormat/>
    <w:rsid w:val="00BC2CFD"/>
    <w:rPr>
      <w:rFonts w:cs="Times New Roman"/>
      <w:b/>
      <w:iCs/>
      <w:lang w:val="fr-CA"/>
    </w:rPr>
  </w:style>
  <w:style w:type="character" w:styleId="Lienhypertexte">
    <w:name w:val="Hyperlink"/>
    <w:rsid w:val="00BC2CFD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B4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E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E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c.ca/" TargetMode="External"/><Relationship Id="rId13" Type="http://schemas.openxmlformats.org/officeDocument/2006/relationships/hyperlink" Target="http://www.fae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bnc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twitter.com/banquenational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nie.pelletier@faeq.com" TargetMode="External"/><Relationship Id="rId10" Type="http://schemas.openxmlformats.org/officeDocument/2006/relationships/hyperlink" Target="http://www.linkedin.com/company/national-bank-of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nquenationale" TargetMode="External"/><Relationship Id="rId14" Type="http://schemas.openxmlformats.org/officeDocument/2006/relationships/hyperlink" Target="http://www.defi808bonnevil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9ACD-AFD8-4D21-97C7-2B87388F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l’athlète d’excellence du Québec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Bourbonnais</dc:creator>
  <cp:lastModifiedBy>Jonathan Collin</cp:lastModifiedBy>
  <cp:revision>2</cp:revision>
  <cp:lastPrinted>2017-03-07T17:29:00Z</cp:lastPrinted>
  <dcterms:created xsi:type="dcterms:W3CDTF">2017-03-23T17:33:00Z</dcterms:created>
  <dcterms:modified xsi:type="dcterms:W3CDTF">2017-03-23T17:33:00Z</dcterms:modified>
</cp:coreProperties>
</file>